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4"/>
          <w:szCs w:val="24"/>
          <w:rtl w:val="0"/>
        </w:rPr>
        <w:t xml:space="preserve">PERTANGGUNGJAWABAN PERDATA ATAS KECELAKAAN KENDARAAN OTONOM: ANALISIS PERBUATAN MELAWAN HUKUM DALAM PERSPEKTIF HUKUM INDONESIA DAN KOMPARATIF</w:t>
      </w:r>
      <w:r w:rsidDel="00000000" w:rsidR="00000000" w:rsidRPr="00000000">
        <w:rPr>
          <w:rtl w:val="0"/>
        </w:rPr>
      </w:r>
    </w:p>
    <w:p w:rsidR="00000000" w:rsidDel="00000000" w:rsidP="00000000" w:rsidRDefault="00000000" w:rsidRPr="00000000" w14:paraId="00000002">
      <w:pPr>
        <w:pStyle w:val="Heading1"/>
        <w:spacing w:after="0" w:before="240" w:line="360" w:lineRule="auto"/>
        <w:jc w:val="center"/>
        <w:rPr>
          <w:rFonts w:ascii="Times New Roman" w:cs="Times New Roman" w:eastAsia="Times New Roman" w:hAnsi="Times New Roman"/>
          <w:b w:val="1"/>
          <w:sz w:val="24"/>
          <w:szCs w:val="24"/>
        </w:rPr>
      </w:pPr>
      <w:bookmarkStart w:colFirst="0" w:colLast="0" w:name="_icpj199hluap" w:id="0"/>
      <w:bookmarkEnd w:id="0"/>
      <w:r w:rsidDel="00000000" w:rsidR="00000000" w:rsidRPr="00000000">
        <w:rPr>
          <w:rtl w:val="0"/>
        </w:rPr>
      </w:r>
    </w:p>
    <w:p w:rsidR="00000000" w:rsidDel="00000000" w:rsidP="00000000" w:rsidRDefault="00000000" w:rsidRPr="00000000" w14:paraId="00000003">
      <w:pPr>
        <w:pStyle w:val="Heading1"/>
        <w:spacing w:after="0" w:before="0" w:line="240" w:lineRule="auto"/>
        <w:jc w:val="center"/>
        <w:rPr>
          <w:rFonts w:ascii="Times New Roman" w:cs="Times New Roman" w:eastAsia="Times New Roman" w:hAnsi="Times New Roman"/>
          <w:b w:val="1"/>
          <w:sz w:val="24"/>
          <w:szCs w:val="24"/>
        </w:rPr>
      </w:pPr>
      <w:bookmarkStart w:colFirst="0" w:colLast="0" w:name="_1fob9te" w:id="1"/>
      <w:bookmarkEnd w:id="1"/>
      <w:r w:rsidDel="00000000" w:rsidR="00000000" w:rsidRPr="00000000">
        <w:rPr>
          <w:rFonts w:ascii="Times New Roman" w:cs="Times New Roman" w:eastAsia="Times New Roman" w:hAnsi="Times New Roman"/>
          <w:b w:val="1"/>
          <w:sz w:val="24"/>
          <w:szCs w:val="24"/>
          <w:rtl w:val="0"/>
        </w:rPr>
        <w:t xml:space="preserve">BAB I</w:t>
      </w:r>
    </w:p>
    <w:p w:rsidR="00000000" w:rsidDel="00000000" w:rsidP="00000000" w:rsidRDefault="00000000" w:rsidRPr="00000000" w14:paraId="00000004">
      <w:pPr>
        <w:pStyle w:val="Heading1"/>
        <w:spacing w:after="0" w:before="0" w:line="240" w:lineRule="auto"/>
        <w:jc w:val="center"/>
        <w:rPr>
          <w:rFonts w:ascii="Times New Roman" w:cs="Times New Roman" w:eastAsia="Times New Roman" w:hAnsi="Times New Roman"/>
          <w:b w:val="1"/>
          <w:sz w:val="24"/>
          <w:szCs w:val="24"/>
        </w:rPr>
      </w:pPr>
      <w:bookmarkStart w:colFirst="0" w:colLast="0" w:name="_3znysh7" w:id="2"/>
      <w:bookmarkEnd w:id="2"/>
      <w:r w:rsidDel="00000000" w:rsidR="00000000" w:rsidRPr="00000000">
        <w:rPr>
          <w:rFonts w:ascii="Times New Roman" w:cs="Times New Roman" w:eastAsia="Times New Roman" w:hAnsi="Times New Roman"/>
          <w:b w:val="1"/>
          <w:sz w:val="24"/>
          <w:szCs w:val="24"/>
          <w:rtl w:val="0"/>
        </w:rPr>
        <w:t xml:space="preserve">PENDAHULUAN</w:t>
      </w:r>
    </w:p>
    <w:p w:rsidR="00000000" w:rsidDel="00000000" w:rsidP="00000000" w:rsidRDefault="00000000" w:rsidRPr="00000000" w14:paraId="00000005">
      <w:pPr>
        <w:spacing w:line="360" w:lineRule="auto"/>
        <w:ind w:left="720" w:hanging="36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pStyle w:val="Heading2"/>
        <w:numPr>
          <w:ilvl w:val="1"/>
          <w:numId w:val="13"/>
        </w:numPr>
        <w:spacing w:after="0" w:before="40" w:line="360" w:lineRule="auto"/>
        <w:ind w:left="360"/>
        <w:rPr>
          <w:b w:val="1"/>
          <w:sz w:val="24"/>
          <w:szCs w:val="24"/>
        </w:rPr>
      </w:pPr>
      <w:bookmarkStart w:colFirst="0" w:colLast="0" w:name="_2et92p0" w:id="3"/>
      <w:bookmarkEnd w:id="3"/>
      <w:r w:rsidDel="00000000" w:rsidR="00000000" w:rsidRPr="00000000">
        <w:rPr>
          <w:rFonts w:ascii="Times New Roman" w:cs="Times New Roman" w:eastAsia="Times New Roman" w:hAnsi="Times New Roman"/>
          <w:b w:val="1"/>
          <w:sz w:val="24"/>
          <w:szCs w:val="24"/>
          <w:rtl w:val="0"/>
        </w:rPr>
        <w:t xml:space="preserve">Latar Belakang</w:t>
      </w:r>
    </w:p>
    <w:p w:rsidR="00000000" w:rsidDel="00000000" w:rsidP="00000000" w:rsidRDefault="00000000" w:rsidRPr="00000000" w14:paraId="0000000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Kendaraan otonom (</w:t>
      </w:r>
      <w:r w:rsidDel="00000000" w:rsidR="00000000" w:rsidRPr="00000000">
        <w:rPr>
          <w:rFonts w:ascii="Times New Roman" w:cs="Times New Roman" w:eastAsia="Times New Roman" w:hAnsi="Times New Roman"/>
          <w:i w:val="1"/>
          <w:sz w:val="24"/>
          <w:szCs w:val="24"/>
          <w:rtl w:val="0"/>
        </w:rPr>
        <w:t xml:space="preserve">Autonomous Vehicles</w:t>
      </w:r>
      <w:r w:rsidDel="00000000" w:rsidR="00000000" w:rsidRPr="00000000">
        <w:rPr>
          <w:rFonts w:ascii="Times New Roman" w:cs="Times New Roman" w:eastAsia="Times New Roman" w:hAnsi="Times New Roman"/>
          <w:sz w:val="24"/>
          <w:szCs w:val="24"/>
          <w:rtl w:val="0"/>
        </w:rPr>
        <w:t xml:space="preserve">/AV) telah berkembang menjadi salah satu inovasi paling disruptif dalam sektor transportasi modern. Teknologi ini menjanjikan peningkatan efisiensi, pengurangan angka kecelakaan lalu lintas yang disebabkan oleh </w:t>
      </w:r>
      <w:r w:rsidDel="00000000" w:rsidR="00000000" w:rsidRPr="00000000">
        <w:rPr>
          <w:rFonts w:ascii="Times New Roman" w:cs="Times New Roman" w:eastAsia="Times New Roman" w:hAnsi="Times New Roman"/>
          <w:i w:val="1"/>
          <w:sz w:val="24"/>
          <w:szCs w:val="24"/>
          <w:rtl w:val="0"/>
        </w:rPr>
        <w:t xml:space="preserve">human error</w:t>
      </w:r>
      <w:r w:rsidDel="00000000" w:rsidR="00000000" w:rsidRPr="00000000">
        <w:rPr>
          <w:rFonts w:ascii="Times New Roman" w:cs="Times New Roman" w:eastAsia="Times New Roman" w:hAnsi="Times New Roman"/>
          <w:sz w:val="24"/>
          <w:szCs w:val="24"/>
          <w:rtl w:val="0"/>
        </w:rPr>
        <w:t xml:space="preserve"> (kesalahan pengemudi), dan kemudahan mobilitas.</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Namun, seiring dengan kemajuan teknologi ini turut menghadirkan kompleksitas hukum yang sangat signifikan khususnya dalam ranah pertanggungjawaban perdata ketika terjadi kecelakaan yang mengakibatkan AV yang disebabkan oleh kegagalan sistem otonom. Meski data empiris di Indonesia masih minim, penelitian di negara-negara maju telah menunjukkan adanya peningkatan insiden akibat AV yang menimbulkan pertanyaan krusial, yaitu siapa yang harus dipertanggungjawabkan secara perdata apabila terjadi kecelakaan akibat kegagalan sistem, yakni dalam konteks perbuatan melawan hukum.</w:t>
      </w:r>
    </w:p>
    <w:p w:rsidR="00000000" w:rsidDel="00000000" w:rsidP="00000000" w:rsidRDefault="00000000" w:rsidRPr="00000000" w14:paraId="00000008">
      <w:pPr>
        <w:spacing w:line="360" w:lineRule="auto"/>
        <w:ind w:left="0" w:firstLine="72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Kendaraan otonom dikembangkan untuk menggantikan peran pengemudi pada tingkatan Level 3–5, dengan harapan meminimalisir </w:t>
      </w:r>
      <w:r w:rsidDel="00000000" w:rsidR="00000000" w:rsidRPr="00000000">
        <w:rPr>
          <w:rFonts w:ascii="Times New Roman" w:cs="Times New Roman" w:eastAsia="Times New Roman" w:hAnsi="Times New Roman"/>
          <w:i w:val="1"/>
          <w:color w:val="ff0000"/>
          <w:sz w:val="24"/>
          <w:szCs w:val="24"/>
          <w:rtl w:val="0"/>
        </w:rPr>
        <w:t xml:space="preserve">human error</w:t>
      </w:r>
      <w:r w:rsidDel="00000000" w:rsidR="00000000" w:rsidRPr="00000000">
        <w:rPr>
          <w:rFonts w:ascii="Times New Roman" w:cs="Times New Roman" w:eastAsia="Times New Roman" w:hAnsi="Times New Roman"/>
          <w:color w:val="ff0000"/>
          <w:sz w:val="24"/>
          <w:szCs w:val="24"/>
          <w:rtl w:val="0"/>
        </w:rPr>
        <w:t xml:space="preserve"> yang menjadi penyebab mayoritas kecelakaan</w:t>
      </w:r>
      <w:hyperlink r:id="rId7">
        <w:r w:rsidDel="00000000" w:rsidR="00000000" w:rsidRPr="00000000">
          <w:rPr>
            <w:rFonts w:ascii="Times New Roman" w:cs="Times New Roman" w:eastAsia="Times New Roman" w:hAnsi="Times New Roman"/>
            <w:color w:val="ff0000"/>
            <w:sz w:val="24"/>
            <w:szCs w:val="24"/>
            <w:rtl w:val="0"/>
          </w:rPr>
          <w:t xml:space="preserve"> </w:t>
        </w:r>
      </w:hyperlink>
      <w:hyperlink r:id="rId8">
        <w:r w:rsidDel="00000000" w:rsidR="00000000" w:rsidRPr="00000000">
          <w:rPr>
            <w:rFonts w:ascii="Times New Roman" w:cs="Times New Roman" w:eastAsia="Times New Roman" w:hAnsi="Times New Roman"/>
            <w:color w:val="ff0000"/>
            <w:sz w:val="24"/>
            <w:szCs w:val="24"/>
            <w:u w:val="single"/>
            <w:rtl w:val="0"/>
          </w:rPr>
          <w:t xml:space="preserve">Brookings</w:t>
        </w:r>
      </w:hyperlink>
      <w:r w:rsidDel="00000000" w:rsidR="00000000" w:rsidRPr="00000000">
        <w:rPr>
          <w:rFonts w:ascii="Times New Roman" w:cs="Times New Roman" w:eastAsia="Times New Roman" w:hAnsi="Times New Roman"/>
          <w:color w:val="ff0000"/>
          <w:sz w:val="24"/>
          <w:szCs w:val="24"/>
          <w:rtl w:val="0"/>
        </w:rPr>
        <w:t xml:space="preserve">. Namun hingga 2023, 40.901 orang tewas dalam kecelakaan kendaraan bermotor di AS, menegaskan urgensi peningkatan keselamatan</w:t>
      </w:r>
      <w:hyperlink r:id="rId9">
        <w:r w:rsidDel="00000000" w:rsidR="00000000" w:rsidRPr="00000000">
          <w:rPr>
            <w:rFonts w:ascii="Times New Roman" w:cs="Times New Roman" w:eastAsia="Times New Roman" w:hAnsi="Times New Roman"/>
            <w:color w:val="ff0000"/>
            <w:sz w:val="24"/>
            <w:szCs w:val="24"/>
            <w:rtl w:val="0"/>
          </w:rPr>
          <w:t xml:space="preserve"> </w:t>
        </w:r>
      </w:hyperlink>
      <w:hyperlink r:id="rId10">
        <w:r w:rsidDel="00000000" w:rsidR="00000000" w:rsidRPr="00000000">
          <w:rPr>
            <w:rFonts w:ascii="Times New Roman" w:cs="Times New Roman" w:eastAsia="Times New Roman" w:hAnsi="Times New Roman"/>
            <w:color w:val="ff0000"/>
            <w:sz w:val="24"/>
            <w:szCs w:val="24"/>
            <w:u w:val="single"/>
            <w:rtl w:val="0"/>
          </w:rPr>
          <w:t xml:space="preserve">NHTSA</w:t>
        </w:r>
      </w:hyperlink>
      <w:r w:rsidDel="00000000" w:rsidR="00000000" w:rsidRPr="00000000">
        <w:rPr>
          <w:rFonts w:ascii="Times New Roman" w:cs="Times New Roman" w:eastAsia="Times New Roman" w:hAnsi="Times New Roman"/>
          <w:color w:val="ff0000"/>
          <w:sz w:val="24"/>
          <w:szCs w:val="24"/>
          <w:rtl w:val="0"/>
        </w:rPr>
        <w:t xml:space="preserve">. Meskipun AV masih relatif aman secara statistik per jarak tempuh, insiden-insiden besar—seperti kecelakaan Cruise di San Francisco atau Tesla FSD di Las Vegas—telah memicu investigasi federal dan publikasi pedoman keselamatan baru </w:t>
      </w:r>
      <w:hyperlink r:id="rId11">
        <w:r w:rsidDel="00000000" w:rsidR="00000000" w:rsidRPr="00000000">
          <w:rPr>
            <w:rFonts w:ascii="Times New Roman" w:cs="Times New Roman" w:eastAsia="Times New Roman" w:hAnsi="Times New Roman"/>
            <w:color w:val="ff0000"/>
            <w:sz w:val="24"/>
            <w:szCs w:val="24"/>
            <w:u w:val="single"/>
            <w:rtl w:val="0"/>
          </w:rPr>
          <w:t xml:space="preserve">Reuters</w:t>
        </w:r>
      </w:hyperlink>
      <w:hyperlink r:id="rId12">
        <w:r w:rsidDel="00000000" w:rsidR="00000000" w:rsidRPr="00000000">
          <w:rPr>
            <w:rFonts w:ascii="Times New Roman" w:cs="Times New Roman" w:eastAsia="Times New Roman" w:hAnsi="Times New Roman"/>
            <w:color w:val="ff0000"/>
            <w:sz w:val="24"/>
            <w:szCs w:val="24"/>
            <w:u w:val="single"/>
            <w:rtl w:val="0"/>
          </w:rPr>
          <w:t xml:space="preserve">American Bar Association</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09">
      <w:pPr>
        <w:spacing w:line="360" w:lineRule="auto"/>
        <w:ind w:left="0" w:firstLine="72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Kendala utama terletak pada ketidakjelasan pihak yang seharusnya memikul tanggung jawab hukum ketika sistem otonom mengalami kegagalan. Di negara-negara seperti Amerika Serikat dan Jerman yang telah terjadi kasus-kasus nyata dimana AV terlibat dalam kecelakaan fatal menimbulkan perdebatan yuridis mengenai pertanggungjawaban produsen, pengembang perangkat lunak, maupun pemilik kendaraan.</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Meskipun penggunaan AV di Indonesia belum masif, tantangan regulatif yang sama akan segera hadir seiring perkembangan teknologi global yang cepat. </w:t>
      </w:r>
      <w:r w:rsidDel="00000000" w:rsidR="00000000" w:rsidRPr="00000000">
        <w:rPr>
          <w:rFonts w:ascii="Times New Roman" w:cs="Times New Roman" w:eastAsia="Times New Roman" w:hAnsi="Times New Roman"/>
          <w:color w:val="ff0000"/>
          <w:sz w:val="24"/>
          <w:szCs w:val="24"/>
          <w:rtl w:val="0"/>
        </w:rPr>
        <w:t xml:space="preserve">Berbagai negara telah menerapkan beragam model pertanggungjawaban:</w:t>
      </w:r>
    </w:p>
    <w:p w:rsidR="00000000" w:rsidDel="00000000" w:rsidP="00000000" w:rsidRDefault="00000000" w:rsidRPr="00000000" w14:paraId="0000000A">
      <w:pPr>
        <w:numPr>
          <w:ilvl w:val="0"/>
          <w:numId w:val="6"/>
        </w:numPr>
        <w:spacing w:after="0" w:before="0" w:line="360" w:lineRule="auto"/>
        <w:ind w:left="720" w:hanging="360"/>
        <w:jc w:val="both"/>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b w:val="1"/>
          <w:color w:val="ff0000"/>
          <w:sz w:val="24"/>
          <w:szCs w:val="24"/>
          <w:rtl w:val="0"/>
        </w:rPr>
        <w:t xml:space="preserve">Amerika Serikat</w:t>
      </w:r>
      <w:r w:rsidDel="00000000" w:rsidR="00000000" w:rsidRPr="00000000">
        <w:rPr>
          <w:rFonts w:ascii="Times New Roman" w:cs="Times New Roman" w:eastAsia="Times New Roman" w:hAnsi="Times New Roman"/>
          <w:color w:val="ff0000"/>
          <w:sz w:val="24"/>
          <w:szCs w:val="24"/>
          <w:rtl w:val="0"/>
        </w:rPr>
        <w:t xml:space="preserve">: Mengandalkan kombinasi asuransi first‑party dan aksi perdata berbasis kesalahan (</w:t>
      </w:r>
      <w:r w:rsidDel="00000000" w:rsidR="00000000" w:rsidRPr="00000000">
        <w:rPr>
          <w:rFonts w:ascii="Times New Roman" w:cs="Times New Roman" w:eastAsia="Times New Roman" w:hAnsi="Times New Roman"/>
          <w:i w:val="1"/>
          <w:color w:val="ff0000"/>
          <w:sz w:val="24"/>
          <w:szCs w:val="24"/>
          <w:rtl w:val="0"/>
        </w:rPr>
        <w:t xml:space="preserve">fault-based torts</w:t>
      </w:r>
      <w:r w:rsidDel="00000000" w:rsidR="00000000" w:rsidRPr="00000000">
        <w:rPr>
          <w:rFonts w:ascii="Times New Roman" w:cs="Times New Roman" w:eastAsia="Times New Roman" w:hAnsi="Times New Roman"/>
          <w:color w:val="ff0000"/>
          <w:sz w:val="24"/>
          <w:szCs w:val="24"/>
          <w:rtl w:val="0"/>
        </w:rPr>
        <w:t xml:space="preserve">), serta eksplorasi </w:t>
      </w:r>
      <w:r w:rsidDel="00000000" w:rsidR="00000000" w:rsidRPr="00000000">
        <w:rPr>
          <w:rFonts w:ascii="Times New Roman" w:cs="Times New Roman" w:eastAsia="Times New Roman" w:hAnsi="Times New Roman"/>
          <w:i w:val="1"/>
          <w:color w:val="ff0000"/>
          <w:sz w:val="24"/>
          <w:szCs w:val="24"/>
          <w:rtl w:val="0"/>
        </w:rPr>
        <w:t xml:space="preserve">product liability</w:t>
      </w:r>
      <w:r w:rsidDel="00000000" w:rsidR="00000000" w:rsidRPr="00000000">
        <w:rPr>
          <w:rFonts w:ascii="Times New Roman" w:cs="Times New Roman" w:eastAsia="Times New Roman" w:hAnsi="Times New Roman"/>
          <w:color w:val="ff0000"/>
          <w:sz w:val="24"/>
          <w:szCs w:val="24"/>
          <w:rtl w:val="0"/>
        </w:rPr>
        <w:t xml:space="preserve"> untuk produsen AV</w:t>
      </w:r>
      <w:hyperlink r:id="rId13">
        <w:r w:rsidDel="00000000" w:rsidR="00000000" w:rsidRPr="00000000">
          <w:rPr>
            <w:rFonts w:ascii="Times New Roman" w:cs="Times New Roman" w:eastAsia="Times New Roman" w:hAnsi="Times New Roman"/>
            <w:color w:val="ff0000"/>
            <w:sz w:val="24"/>
            <w:szCs w:val="24"/>
            <w:rtl w:val="0"/>
          </w:rPr>
          <w:t xml:space="preserve"> </w:t>
        </w:r>
      </w:hyperlink>
      <w:hyperlink r:id="rId14">
        <w:r w:rsidDel="00000000" w:rsidR="00000000" w:rsidRPr="00000000">
          <w:rPr>
            <w:rFonts w:ascii="Times New Roman" w:cs="Times New Roman" w:eastAsia="Times New Roman" w:hAnsi="Times New Roman"/>
            <w:color w:val="ff0000"/>
            <w:sz w:val="24"/>
            <w:szCs w:val="24"/>
            <w:u w:val="single"/>
            <w:rtl w:val="0"/>
          </w:rPr>
          <w:t xml:space="preserve">OUP Academic</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0B">
      <w:pPr>
        <w:numPr>
          <w:ilvl w:val="0"/>
          <w:numId w:val="6"/>
        </w:numPr>
        <w:spacing w:after="0" w:before="0" w:line="360" w:lineRule="auto"/>
        <w:ind w:left="720" w:hanging="360"/>
        <w:jc w:val="both"/>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b w:val="1"/>
          <w:color w:val="ff0000"/>
          <w:sz w:val="24"/>
          <w:szCs w:val="24"/>
          <w:rtl w:val="0"/>
        </w:rPr>
        <w:t xml:space="preserve">Jerman</w:t>
      </w:r>
      <w:r w:rsidDel="00000000" w:rsidR="00000000" w:rsidRPr="00000000">
        <w:rPr>
          <w:rFonts w:ascii="Times New Roman" w:cs="Times New Roman" w:eastAsia="Times New Roman" w:hAnsi="Times New Roman"/>
          <w:color w:val="ff0000"/>
          <w:sz w:val="24"/>
          <w:szCs w:val="24"/>
          <w:rtl w:val="0"/>
        </w:rPr>
        <w:t xml:space="preserve">: Mengamandemen Undang‑Undang Lalu Lintas Jalan (2017) untuk menaikkan plafon </w:t>
      </w:r>
      <w:r w:rsidDel="00000000" w:rsidR="00000000" w:rsidRPr="00000000">
        <w:rPr>
          <w:rFonts w:ascii="Times New Roman" w:cs="Times New Roman" w:eastAsia="Times New Roman" w:hAnsi="Times New Roman"/>
          <w:i w:val="1"/>
          <w:color w:val="ff0000"/>
          <w:sz w:val="24"/>
          <w:szCs w:val="24"/>
          <w:rtl w:val="0"/>
        </w:rPr>
        <w:t xml:space="preserve">strict liability</w:t>
      </w:r>
      <w:r w:rsidDel="00000000" w:rsidR="00000000" w:rsidRPr="00000000">
        <w:rPr>
          <w:rFonts w:ascii="Times New Roman" w:cs="Times New Roman" w:eastAsia="Times New Roman" w:hAnsi="Times New Roman"/>
          <w:color w:val="ff0000"/>
          <w:sz w:val="24"/>
          <w:szCs w:val="24"/>
          <w:rtl w:val="0"/>
        </w:rPr>
        <w:t xml:space="preserve"> hingga EUR 10 juta, sekaligus memperjelas wewenang produsen dan pemilik kendaraan</w:t>
      </w:r>
      <w:hyperlink r:id="rId15">
        <w:r w:rsidDel="00000000" w:rsidR="00000000" w:rsidRPr="00000000">
          <w:rPr>
            <w:rFonts w:ascii="Times New Roman" w:cs="Times New Roman" w:eastAsia="Times New Roman" w:hAnsi="Times New Roman"/>
            <w:color w:val="ff0000"/>
            <w:sz w:val="24"/>
            <w:szCs w:val="24"/>
            <w:rtl w:val="0"/>
          </w:rPr>
          <w:t xml:space="preserve"> </w:t>
        </w:r>
      </w:hyperlink>
      <w:hyperlink r:id="rId16">
        <w:r w:rsidDel="00000000" w:rsidR="00000000" w:rsidRPr="00000000">
          <w:rPr>
            <w:rFonts w:ascii="Times New Roman" w:cs="Times New Roman" w:eastAsia="Times New Roman" w:hAnsi="Times New Roman"/>
            <w:color w:val="ff0000"/>
            <w:sz w:val="24"/>
            <w:szCs w:val="24"/>
            <w:u w:val="single"/>
            <w:rtl w:val="0"/>
          </w:rPr>
          <w:t xml:space="preserve">International</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0C">
      <w:pPr>
        <w:numPr>
          <w:ilvl w:val="0"/>
          <w:numId w:val="6"/>
        </w:numPr>
        <w:spacing w:after="0" w:before="0" w:line="360" w:lineRule="auto"/>
        <w:ind w:left="720" w:hanging="360"/>
        <w:jc w:val="both"/>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b w:val="1"/>
          <w:color w:val="ff0000"/>
          <w:sz w:val="24"/>
          <w:szCs w:val="24"/>
          <w:rtl w:val="0"/>
        </w:rPr>
        <w:t xml:space="preserve">Jepang</w:t>
      </w:r>
      <w:r w:rsidDel="00000000" w:rsidR="00000000" w:rsidRPr="00000000">
        <w:rPr>
          <w:rFonts w:ascii="Times New Roman" w:cs="Times New Roman" w:eastAsia="Times New Roman" w:hAnsi="Times New Roman"/>
          <w:color w:val="ff0000"/>
          <w:sz w:val="24"/>
          <w:szCs w:val="24"/>
          <w:rtl w:val="0"/>
        </w:rPr>
        <w:t xml:space="preserve">: Memisahkan tanggung jawab perdata (kerugian) dan pidana (sanksi), serta menitikberatkan verifikasi desain keselamatan sebelum sertifikasi komersial</w:t>
      </w:r>
      <w:hyperlink r:id="rId17">
        <w:r w:rsidDel="00000000" w:rsidR="00000000" w:rsidRPr="00000000">
          <w:rPr>
            <w:rFonts w:ascii="Times New Roman" w:cs="Times New Roman" w:eastAsia="Times New Roman" w:hAnsi="Times New Roman"/>
            <w:color w:val="ff0000"/>
            <w:sz w:val="24"/>
            <w:szCs w:val="24"/>
            <w:rtl w:val="0"/>
          </w:rPr>
          <w:t xml:space="preserve"> </w:t>
        </w:r>
      </w:hyperlink>
      <w:hyperlink r:id="rId18">
        <w:r w:rsidDel="00000000" w:rsidR="00000000" w:rsidRPr="00000000">
          <w:rPr>
            <w:rFonts w:ascii="Times New Roman" w:cs="Times New Roman" w:eastAsia="Times New Roman" w:hAnsi="Times New Roman"/>
            <w:color w:val="ff0000"/>
            <w:sz w:val="24"/>
            <w:szCs w:val="24"/>
            <w:u w:val="single"/>
            <w:rtl w:val="0"/>
          </w:rPr>
          <w:t xml:space="preserve">Meiji.net:Meiji University |</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0D">
      <w:pPr>
        <w:spacing w:after="0" w:before="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Di samping itu, diskursus akademik mengadvokasi model </w:t>
      </w:r>
      <w:r w:rsidDel="00000000" w:rsidR="00000000" w:rsidRPr="00000000">
        <w:rPr>
          <w:rFonts w:ascii="Times New Roman" w:cs="Times New Roman" w:eastAsia="Times New Roman" w:hAnsi="Times New Roman"/>
          <w:i w:val="1"/>
          <w:color w:val="ff0000"/>
          <w:sz w:val="24"/>
          <w:szCs w:val="24"/>
          <w:rtl w:val="0"/>
        </w:rPr>
        <w:t xml:space="preserve">comparative negligence</w:t>
      </w:r>
      <w:r w:rsidDel="00000000" w:rsidR="00000000" w:rsidRPr="00000000">
        <w:rPr>
          <w:rFonts w:ascii="Times New Roman" w:cs="Times New Roman" w:eastAsia="Times New Roman" w:hAnsi="Times New Roman"/>
          <w:color w:val="ff0000"/>
          <w:sz w:val="24"/>
          <w:szCs w:val="24"/>
          <w:rtl w:val="0"/>
        </w:rPr>
        <w:t xml:space="preserve"> dalam teori permainan untuk merancang pembagian risiko optimal antara AV dan kendaraan human‑driven</w:t>
      </w:r>
      <w:hyperlink r:id="rId19">
        <w:r w:rsidDel="00000000" w:rsidR="00000000" w:rsidRPr="00000000">
          <w:rPr>
            <w:rFonts w:ascii="Times New Roman" w:cs="Times New Roman" w:eastAsia="Times New Roman" w:hAnsi="Times New Roman"/>
            <w:color w:val="ff0000"/>
            <w:sz w:val="24"/>
            <w:szCs w:val="24"/>
            <w:rtl w:val="0"/>
          </w:rPr>
          <w:t xml:space="preserve"> </w:t>
        </w:r>
      </w:hyperlink>
      <w:hyperlink r:id="rId20">
        <w:r w:rsidDel="00000000" w:rsidR="00000000" w:rsidRPr="00000000">
          <w:rPr>
            <w:rFonts w:ascii="Times New Roman" w:cs="Times New Roman" w:eastAsia="Times New Roman" w:hAnsi="Times New Roman"/>
            <w:color w:val="ff0000"/>
            <w:sz w:val="24"/>
            <w:szCs w:val="24"/>
            <w:u w:val="single"/>
            <w:rtl w:val="0"/>
          </w:rPr>
          <w:t xml:space="preserve">ScienceDirect</w:t>
        </w:r>
      </w:hyperlink>
      <w:r w:rsidDel="00000000" w:rsidR="00000000" w:rsidRPr="00000000">
        <w:rPr>
          <w:rFonts w:ascii="Times New Roman" w:cs="Times New Roman" w:eastAsia="Times New Roman" w:hAnsi="Times New Roman"/>
          <w:color w:val="ff0000"/>
          <w:sz w:val="24"/>
          <w:szCs w:val="24"/>
          <w:rtl w:val="0"/>
        </w:rPr>
        <w:t xml:space="preserve">.</w:t>
      </w:r>
      <w:r w:rsidDel="00000000" w:rsidR="00000000" w:rsidRPr="00000000">
        <w:rPr>
          <w:rtl w:val="0"/>
        </w:rPr>
      </w:r>
    </w:p>
    <w:p w:rsidR="00000000" w:rsidDel="00000000" w:rsidP="00000000" w:rsidRDefault="00000000" w:rsidRPr="00000000" w14:paraId="0000000E">
      <w:pPr>
        <w:spacing w:line="360" w:lineRule="auto"/>
        <w:ind w:left="0" w:firstLine="72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Sistem hukum Indonesia menjelaskan pertanggungjawaban dalam kecelakaan lalu lintas umumnya mengacu pada pasal 1365 Kitab Undang-Undang Hukum Perdata (</w:t>
      </w:r>
      <w:r w:rsidDel="00000000" w:rsidR="00000000" w:rsidRPr="00000000">
        <w:rPr>
          <w:rFonts w:ascii="Times New Roman" w:cs="Times New Roman" w:eastAsia="Times New Roman" w:hAnsi="Times New Roman"/>
          <w:i w:val="1"/>
          <w:sz w:val="24"/>
          <w:szCs w:val="24"/>
          <w:rtl w:val="0"/>
        </w:rPr>
        <w:t xml:space="preserve">Burgerlijk Wetboek</w:t>
      </w:r>
      <w:r w:rsidDel="00000000" w:rsidR="00000000" w:rsidRPr="00000000">
        <w:rPr>
          <w:rFonts w:ascii="Times New Roman" w:cs="Times New Roman" w:eastAsia="Times New Roman" w:hAnsi="Times New Roman"/>
          <w:sz w:val="24"/>
          <w:szCs w:val="24"/>
          <w:rtl w:val="0"/>
        </w:rPr>
        <w:t xml:space="preserve">/KUH Perdata) tentang Perbuatan Melawan Hukum (PMH). Pasal 1365 KUH Perdata mengatur bahwa setiap perbuatan yang melanggar hukum dan menimbulkan kerugian kepada orang lain mewajibkan pelaku untuk mengganti kerugian tersebut.</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Namun, rumusan ini belum sepenuhnya adaptif terhadap karakteristik teknologi AV yang bersifat </w:t>
      </w:r>
      <w:r w:rsidDel="00000000" w:rsidR="00000000" w:rsidRPr="00000000">
        <w:rPr>
          <w:rFonts w:ascii="Times New Roman" w:cs="Times New Roman" w:eastAsia="Times New Roman" w:hAnsi="Times New Roman"/>
          <w:i w:val="1"/>
          <w:sz w:val="24"/>
          <w:szCs w:val="24"/>
          <w:rtl w:val="0"/>
        </w:rPr>
        <w:t xml:space="preserve">non-personal</w:t>
      </w:r>
      <w:r w:rsidDel="00000000" w:rsidR="00000000" w:rsidRPr="00000000">
        <w:rPr>
          <w:rFonts w:ascii="Times New Roman" w:cs="Times New Roman" w:eastAsia="Times New Roman" w:hAnsi="Times New Roman"/>
          <w:sz w:val="24"/>
          <w:szCs w:val="24"/>
          <w:rtl w:val="0"/>
        </w:rPr>
        <w:t xml:space="preserve"> dan otonom sehingga dapat menyebabkan kekaburan subjek hukum yang harus dimintai pertanggungjawaban. </w:t>
      </w:r>
      <w:r w:rsidDel="00000000" w:rsidR="00000000" w:rsidRPr="00000000">
        <w:rPr>
          <w:rFonts w:ascii="Times New Roman" w:cs="Times New Roman" w:eastAsia="Times New Roman" w:hAnsi="Times New Roman"/>
          <w:color w:val="ff0000"/>
          <w:sz w:val="24"/>
          <w:szCs w:val="24"/>
          <w:rtl w:val="0"/>
        </w:rPr>
        <w:t xml:space="preserve">Hingga kini, Indonesia masih berada pada </w:t>
      </w:r>
      <w:r w:rsidDel="00000000" w:rsidR="00000000" w:rsidRPr="00000000">
        <w:rPr>
          <w:rFonts w:ascii="Times New Roman" w:cs="Times New Roman" w:eastAsia="Times New Roman" w:hAnsi="Times New Roman"/>
          <w:b w:val="1"/>
          <w:color w:val="ff0000"/>
          <w:sz w:val="24"/>
          <w:szCs w:val="24"/>
          <w:rtl w:val="0"/>
        </w:rPr>
        <w:t xml:space="preserve">Level 2</w:t>
      </w:r>
      <w:r w:rsidDel="00000000" w:rsidR="00000000" w:rsidRPr="00000000">
        <w:rPr>
          <w:rFonts w:ascii="Times New Roman" w:cs="Times New Roman" w:eastAsia="Times New Roman" w:hAnsi="Times New Roman"/>
          <w:color w:val="ff0000"/>
          <w:sz w:val="24"/>
          <w:szCs w:val="24"/>
          <w:rtl w:val="0"/>
        </w:rPr>
        <w:t xml:space="preserve"> otomasi, dengan uji coba AV yang sangat terbatas</w:t>
      </w:r>
      <w:hyperlink r:id="rId21">
        <w:r w:rsidDel="00000000" w:rsidR="00000000" w:rsidRPr="00000000">
          <w:rPr>
            <w:rFonts w:ascii="Times New Roman" w:cs="Times New Roman" w:eastAsia="Times New Roman" w:hAnsi="Times New Roman"/>
            <w:color w:val="ff0000"/>
            <w:sz w:val="24"/>
            <w:szCs w:val="24"/>
            <w:rtl w:val="0"/>
          </w:rPr>
          <w:t xml:space="preserve"> </w:t>
        </w:r>
      </w:hyperlink>
      <w:hyperlink r:id="rId22">
        <w:r w:rsidDel="00000000" w:rsidR="00000000" w:rsidRPr="00000000">
          <w:rPr>
            <w:rFonts w:ascii="Times New Roman" w:cs="Times New Roman" w:eastAsia="Times New Roman" w:hAnsi="Times New Roman"/>
            <w:color w:val="ff0000"/>
            <w:sz w:val="24"/>
            <w:szCs w:val="24"/>
            <w:u w:val="single"/>
            <w:rtl w:val="0"/>
          </w:rPr>
          <w:t xml:space="preserve">ScienceDirect</w:t>
        </w:r>
      </w:hyperlink>
      <w:r w:rsidDel="00000000" w:rsidR="00000000" w:rsidRPr="00000000">
        <w:rPr>
          <w:rFonts w:ascii="Times New Roman" w:cs="Times New Roman" w:eastAsia="Times New Roman" w:hAnsi="Times New Roman"/>
          <w:color w:val="ff0000"/>
          <w:sz w:val="24"/>
          <w:szCs w:val="24"/>
          <w:rtl w:val="0"/>
        </w:rPr>
        <w:t xml:space="preserve">. Regulasi nasional umumnya mengacu pada roda asas Pasal 1365 KUH Perdata (</w:t>
      </w:r>
      <w:r w:rsidDel="00000000" w:rsidR="00000000" w:rsidRPr="00000000">
        <w:rPr>
          <w:rFonts w:ascii="Times New Roman" w:cs="Times New Roman" w:eastAsia="Times New Roman" w:hAnsi="Times New Roman"/>
          <w:i w:val="1"/>
          <w:color w:val="ff0000"/>
          <w:sz w:val="24"/>
          <w:szCs w:val="24"/>
          <w:rtl w:val="0"/>
        </w:rPr>
        <w:t xml:space="preserve">onrechtmatige daad</w:t>
      </w:r>
      <w:r w:rsidDel="00000000" w:rsidR="00000000" w:rsidRPr="00000000">
        <w:rPr>
          <w:rFonts w:ascii="Times New Roman" w:cs="Times New Roman" w:eastAsia="Times New Roman" w:hAnsi="Times New Roman"/>
          <w:color w:val="ff0000"/>
          <w:sz w:val="24"/>
          <w:szCs w:val="24"/>
          <w:rtl w:val="0"/>
        </w:rPr>
        <w:t xml:space="preserve">), tanpa amandemen khusus untuk AV</w:t>
      </w:r>
      <w:hyperlink r:id="rId23">
        <w:r w:rsidDel="00000000" w:rsidR="00000000" w:rsidRPr="00000000">
          <w:rPr>
            <w:rFonts w:ascii="Times New Roman" w:cs="Times New Roman" w:eastAsia="Times New Roman" w:hAnsi="Times New Roman"/>
            <w:color w:val="ff0000"/>
            <w:sz w:val="24"/>
            <w:szCs w:val="24"/>
            <w:rtl w:val="0"/>
          </w:rPr>
          <w:t xml:space="preserve"> </w:t>
        </w:r>
      </w:hyperlink>
      <w:hyperlink r:id="rId24">
        <w:r w:rsidDel="00000000" w:rsidR="00000000" w:rsidRPr="00000000">
          <w:rPr>
            <w:rFonts w:ascii="Times New Roman" w:cs="Times New Roman" w:eastAsia="Times New Roman" w:hAnsi="Times New Roman"/>
            <w:color w:val="ff0000"/>
            <w:sz w:val="24"/>
            <w:szCs w:val="24"/>
            <w:u w:val="single"/>
            <w:rtl w:val="0"/>
          </w:rPr>
          <w:t xml:space="preserve">vs-dprexternal3.dpr.go.id</w:t>
        </w:r>
      </w:hyperlink>
      <w:r w:rsidDel="00000000" w:rsidR="00000000" w:rsidRPr="00000000">
        <w:rPr>
          <w:rFonts w:ascii="Times New Roman" w:cs="Times New Roman" w:eastAsia="Times New Roman" w:hAnsi="Times New Roman"/>
          <w:color w:val="ff0000"/>
          <w:sz w:val="24"/>
          <w:szCs w:val="24"/>
          <w:rtl w:val="0"/>
        </w:rPr>
        <w:t xml:space="preserve">. Hal ini menciptakan kekaburan:</w:t>
      </w:r>
    </w:p>
    <w:p w:rsidR="00000000" w:rsidDel="00000000" w:rsidP="00000000" w:rsidRDefault="00000000" w:rsidRPr="00000000" w14:paraId="0000000F">
      <w:pPr>
        <w:numPr>
          <w:ilvl w:val="0"/>
          <w:numId w:val="5"/>
        </w:numPr>
        <w:spacing w:after="0" w:before="0" w:line="360" w:lineRule="auto"/>
        <w:ind w:left="708.6614173228347" w:hanging="36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Siapa subjek hukum</w:t>
      </w:r>
      <w:r w:rsidDel="00000000" w:rsidR="00000000" w:rsidRPr="00000000">
        <w:rPr>
          <w:rFonts w:ascii="Times New Roman" w:cs="Times New Roman" w:eastAsia="Times New Roman" w:hAnsi="Times New Roman"/>
          <w:color w:val="ff0000"/>
          <w:sz w:val="24"/>
          <w:szCs w:val="24"/>
          <w:rtl w:val="0"/>
        </w:rPr>
        <w:t xml:space="preserve">: pemilik, pengemudi (jika ada), produsen, atau pengembang AI?</w:t>
      </w:r>
    </w:p>
    <w:p w:rsidR="00000000" w:rsidDel="00000000" w:rsidP="00000000" w:rsidRDefault="00000000" w:rsidRPr="00000000" w14:paraId="00000010">
      <w:pPr>
        <w:numPr>
          <w:ilvl w:val="0"/>
          <w:numId w:val="5"/>
        </w:numPr>
        <w:spacing w:after="0" w:before="0" w:line="360" w:lineRule="auto"/>
        <w:ind w:left="708.6614173228347" w:hanging="36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Model liability</w:t>
      </w:r>
      <w:r w:rsidDel="00000000" w:rsidR="00000000" w:rsidRPr="00000000">
        <w:rPr>
          <w:rFonts w:ascii="Times New Roman" w:cs="Times New Roman" w:eastAsia="Times New Roman" w:hAnsi="Times New Roman"/>
          <w:color w:val="ff0000"/>
          <w:sz w:val="24"/>
          <w:szCs w:val="24"/>
          <w:rtl w:val="0"/>
        </w:rPr>
        <w:t xml:space="preserve">: fault-based tradisional atau strict/product liability mutlak?</w:t>
      </w:r>
    </w:p>
    <w:p w:rsidR="00000000" w:rsidDel="00000000" w:rsidP="00000000" w:rsidRDefault="00000000" w:rsidRPr="00000000" w14:paraId="00000011">
      <w:pPr>
        <w:numPr>
          <w:ilvl w:val="0"/>
          <w:numId w:val="5"/>
        </w:numPr>
        <w:spacing w:after="0" w:before="0" w:line="360" w:lineRule="auto"/>
        <w:ind w:left="708.6614173228347" w:hanging="36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Standar pembuktian</w:t>
      </w:r>
      <w:r w:rsidDel="00000000" w:rsidR="00000000" w:rsidRPr="00000000">
        <w:rPr>
          <w:rFonts w:ascii="Times New Roman" w:cs="Times New Roman" w:eastAsia="Times New Roman" w:hAnsi="Times New Roman"/>
          <w:color w:val="ff0000"/>
          <w:sz w:val="24"/>
          <w:szCs w:val="24"/>
          <w:rtl w:val="0"/>
        </w:rPr>
        <w:t xml:space="preserve">: bagaimana membuktikan cacat desain vs. kelalaian pengguna?</w:t>
      </w:r>
    </w:p>
    <w:p w:rsidR="00000000" w:rsidDel="00000000" w:rsidP="00000000" w:rsidRDefault="00000000" w:rsidRPr="00000000" w14:paraId="0000001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Dilema hukum muncul, apakah tanggung jawab harus dibebankan kepada pemilik kendaraan, produsen, atau bahkan pengembang kecerdasan buatan (</w:t>
      </w:r>
      <w:r w:rsidDel="00000000" w:rsidR="00000000" w:rsidRPr="00000000">
        <w:rPr>
          <w:rFonts w:ascii="Times New Roman" w:cs="Times New Roman" w:eastAsia="Times New Roman" w:hAnsi="Times New Roman"/>
          <w:i w:val="1"/>
          <w:sz w:val="24"/>
          <w:szCs w:val="24"/>
          <w:rtl w:val="0"/>
        </w:rPr>
        <w:t xml:space="preserve">Artificial Intelligence</w:t>
      </w:r>
      <w:r w:rsidDel="00000000" w:rsidR="00000000" w:rsidRPr="00000000">
        <w:rPr>
          <w:rFonts w:ascii="Times New Roman" w:cs="Times New Roman" w:eastAsia="Times New Roman" w:hAnsi="Times New Roman"/>
          <w:sz w:val="24"/>
          <w:szCs w:val="24"/>
          <w:rtl w:val="0"/>
        </w:rPr>
        <w:t xml:space="preserve">/AI) yang mengendalikan sistem? Bagaimana prinsip </w:t>
      </w:r>
      <w:r w:rsidDel="00000000" w:rsidR="00000000" w:rsidRPr="00000000">
        <w:rPr>
          <w:rFonts w:ascii="Times New Roman" w:cs="Times New Roman" w:eastAsia="Times New Roman" w:hAnsi="Times New Roman"/>
          <w:i w:val="1"/>
          <w:sz w:val="24"/>
          <w:szCs w:val="24"/>
          <w:rtl w:val="0"/>
        </w:rPr>
        <w:t xml:space="preserve">strict liability</w:t>
      </w:r>
      <w:r w:rsidDel="00000000" w:rsidR="00000000" w:rsidRPr="00000000">
        <w:rPr>
          <w:rFonts w:ascii="Times New Roman" w:cs="Times New Roman" w:eastAsia="Times New Roman" w:hAnsi="Times New Roman"/>
          <w:sz w:val="24"/>
          <w:szCs w:val="24"/>
          <w:rtl w:val="0"/>
        </w:rPr>
        <w:t xml:space="preserve"> atau tanggung jawab mutlak dapat diadopsi dalam konteks ini? Dan apakah sistem hukum Indonesia saat ini memiliki fleksibilitas normatif untuk mengakomodasi model tanggung jawab baru yang lebih sesuai dengan karakteristik AV?</w:t>
      </w:r>
    </w:p>
    <w:p w:rsidR="00000000" w:rsidDel="00000000" w:rsidP="00000000" w:rsidRDefault="00000000" w:rsidRPr="00000000" w14:paraId="00000013">
      <w:pPr>
        <w:spacing w:line="360" w:lineRule="auto"/>
        <w:ind w:left="0" w:firstLine="72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Beberapa negara telah mengembangkan pendekatan campuran antara </w:t>
      </w:r>
      <w:r w:rsidDel="00000000" w:rsidR="00000000" w:rsidRPr="00000000">
        <w:rPr>
          <w:rFonts w:ascii="Times New Roman" w:cs="Times New Roman" w:eastAsia="Times New Roman" w:hAnsi="Times New Roman"/>
          <w:i w:val="1"/>
          <w:sz w:val="24"/>
          <w:szCs w:val="24"/>
          <w:rtl w:val="0"/>
        </w:rPr>
        <w:t xml:space="preserve">fault-based liability</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strict liability</w:t>
      </w:r>
      <w:r w:rsidDel="00000000" w:rsidR="00000000" w:rsidRPr="00000000">
        <w:rPr>
          <w:rFonts w:ascii="Times New Roman" w:cs="Times New Roman" w:eastAsia="Times New Roman" w:hAnsi="Times New Roman"/>
          <w:sz w:val="24"/>
          <w:szCs w:val="24"/>
          <w:rtl w:val="0"/>
        </w:rPr>
        <w:t xml:space="preserve"> mengingat kendaraan otonom bukan hanya produk mekanik tetapi juga sistem kompleks berbasis algoritma.</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Oleh karena itu, penelitian ini akan mengkaji relevansi pendekatan tersebut untuk diadopsi ke dalam sistem hukum Indonesia melalui analisis komparatif. </w:t>
      </w:r>
      <w:r w:rsidDel="00000000" w:rsidR="00000000" w:rsidRPr="00000000">
        <w:rPr>
          <w:rFonts w:ascii="Times New Roman" w:cs="Times New Roman" w:eastAsia="Times New Roman" w:hAnsi="Times New Roman"/>
          <w:color w:val="ff0000"/>
          <w:sz w:val="24"/>
          <w:szCs w:val="24"/>
          <w:rtl w:val="0"/>
        </w:rPr>
        <w:t xml:space="preserve">Ketiadaan regulasi spesifik menimbulkan risiko litigasi yang tidak menentu—antara pertaruhan hak korban, keamanan publik, dan inovasi industri</w:t>
      </w:r>
      <w:hyperlink r:id="rId25">
        <w:r w:rsidDel="00000000" w:rsidR="00000000" w:rsidRPr="00000000">
          <w:rPr>
            <w:rFonts w:ascii="Times New Roman" w:cs="Times New Roman" w:eastAsia="Times New Roman" w:hAnsi="Times New Roman"/>
            <w:color w:val="ff0000"/>
            <w:sz w:val="24"/>
            <w:szCs w:val="24"/>
            <w:rtl w:val="0"/>
          </w:rPr>
          <w:t xml:space="preserve"> </w:t>
        </w:r>
      </w:hyperlink>
      <w:hyperlink r:id="rId26">
        <w:r w:rsidDel="00000000" w:rsidR="00000000" w:rsidRPr="00000000">
          <w:rPr>
            <w:rFonts w:ascii="Times New Roman" w:cs="Times New Roman" w:eastAsia="Times New Roman" w:hAnsi="Times New Roman"/>
            <w:color w:val="ff0000"/>
            <w:sz w:val="24"/>
            <w:szCs w:val="24"/>
            <w:u w:val="single"/>
            <w:rtl w:val="0"/>
          </w:rPr>
          <w:t xml:space="preserve">Reuters</w:t>
        </w:r>
      </w:hyperlink>
      <w:r w:rsidDel="00000000" w:rsidR="00000000" w:rsidRPr="00000000">
        <w:rPr>
          <w:rFonts w:ascii="Times New Roman" w:cs="Times New Roman" w:eastAsia="Times New Roman" w:hAnsi="Times New Roman"/>
          <w:color w:val="ff0000"/>
          <w:sz w:val="24"/>
          <w:szCs w:val="24"/>
          <w:rtl w:val="0"/>
        </w:rPr>
        <w:t xml:space="preserve">. Oleh karena itu, studi komparatif terhadap pendekatan hukum negara-negara lain menjadi krusial untuk:</w:t>
      </w:r>
    </w:p>
    <w:p w:rsidR="00000000" w:rsidDel="00000000" w:rsidP="00000000" w:rsidRDefault="00000000" w:rsidRPr="00000000" w14:paraId="00000014">
      <w:pPr>
        <w:numPr>
          <w:ilvl w:val="0"/>
          <w:numId w:val="2"/>
        </w:numPr>
        <w:spacing w:after="0" w:before="0" w:line="360" w:lineRule="auto"/>
        <w:ind w:left="708.6614173228347" w:hanging="360"/>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color w:val="ff0000"/>
          <w:sz w:val="24"/>
          <w:szCs w:val="24"/>
          <w:rtl w:val="0"/>
        </w:rPr>
        <w:t xml:space="preserve">Mengidentifikasi </w:t>
      </w:r>
      <w:r w:rsidDel="00000000" w:rsidR="00000000" w:rsidRPr="00000000">
        <w:rPr>
          <w:rFonts w:ascii="Times New Roman" w:cs="Times New Roman" w:eastAsia="Times New Roman" w:hAnsi="Times New Roman"/>
          <w:b w:val="1"/>
          <w:color w:val="ff0000"/>
          <w:sz w:val="24"/>
          <w:szCs w:val="24"/>
          <w:rtl w:val="0"/>
        </w:rPr>
        <w:t xml:space="preserve">best practices</w:t>
      </w:r>
      <w:r w:rsidDel="00000000" w:rsidR="00000000" w:rsidRPr="00000000">
        <w:rPr>
          <w:rFonts w:ascii="Times New Roman" w:cs="Times New Roman" w:eastAsia="Times New Roman" w:hAnsi="Times New Roman"/>
          <w:color w:val="ff0000"/>
          <w:sz w:val="24"/>
          <w:szCs w:val="24"/>
          <w:rtl w:val="0"/>
        </w:rPr>
        <w:t xml:space="preserve"> dalam pembagian tanggung jawab (produsen, pengguna, pengembang AI).</w:t>
      </w:r>
    </w:p>
    <w:p w:rsidR="00000000" w:rsidDel="00000000" w:rsidP="00000000" w:rsidRDefault="00000000" w:rsidRPr="00000000" w14:paraId="00000015">
      <w:pPr>
        <w:numPr>
          <w:ilvl w:val="0"/>
          <w:numId w:val="2"/>
        </w:numPr>
        <w:spacing w:after="0" w:before="0" w:line="360" w:lineRule="auto"/>
        <w:ind w:left="708.6614173228347" w:hanging="360"/>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color w:val="ff0000"/>
          <w:sz w:val="24"/>
          <w:szCs w:val="24"/>
          <w:rtl w:val="0"/>
        </w:rPr>
        <w:t xml:space="preserve">Menilai efektivitas model </w:t>
      </w:r>
      <w:r w:rsidDel="00000000" w:rsidR="00000000" w:rsidRPr="00000000">
        <w:rPr>
          <w:rFonts w:ascii="Times New Roman" w:cs="Times New Roman" w:eastAsia="Times New Roman" w:hAnsi="Times New Roman"/>
          <w:i w:val="1"/>
          <w:color w:val="ff0000"/>
          <w:sz w:val="24"/>
          <w:szCs w:val="24"/>
          <w:rtl w:val="0"/>
        </w:rPr>
        <w:t xml:space="preserve">strict liability</w:t>
      </w:r>
      <w:r w:rsidDel="00000000" w:rsidR="00000000" w:rsidRPr="00000000">
        <w:rPr>
          <w:rFonts w:ascii="Times New Roman" w:cs="Times New Roman" w:eastAsia="Times New Roman" w:hAnsi="Times New Roman"/>
          <w:color w:val="ff0000"/>
          <w:sz w:val="24"/>
          <w:szCs w:val="24"/>
          <w:rtl w:val="0"/>
        </w:rPr>
        <w:t xml:space="preserve"> vs </w:t>
      </w:r>
      <w:r w:rsidDel="00000000" w:rsidR="00000000" w:rsidRPr="00000000">
        <w:rPr>
          <w:rFonts w:ascii="Times New Roman" w:cs="Times New Roman" w:eastAsia="Times New Roman" w:hAnsi="Times New Roman"/>
          <w:i w:val="1"/>
          <w:color w:val="ff0000"/>
          <w:sz w:val="24"/>
          <w:szCs w:val="24"/>
          <w:rtl w:val="0"/>
        </w:rPr>
        <w:t xml:space="preserve">fault-based liability</w:t>
      </w:r>
      <w:r w:rsidDel="00000000" w:rsidR="00000000" w:rsidRPr="00000000">
        <w:rPr>
          <w:rFonts w:ascii="Times New Roman" w:cs="Times New Roman" w:eastAsia="Times New Roman" w:hAnsi="Times New Roman"/>
          <w:color w:val="ff0000"/>
          <w:sz w:val="24"/>
          <w:szCs w:val="24"/>
          <w:rtl w:val="0"/>
        </w:rPr>
        <w:t xml:space="preserve"> dalam konteks kompleks AV.</w:t>
      </w:r>
    </w:p>
    <w:p w:rsidR="00000000" w:rsidDel="00000000" w:rsidP="00000000" w:rsidRDefault="00000000" w:rsidRPr="00000000" w14:paraId="00000016">
      <w:pPr>
        <w:numPr>
          <w:ilvl w:val="0"/>
          <w:numId w:val="2"/>
        </w:numPr>
        <w:spacing w:after="0" w:before="0" w:line="360" w:lineRule="auto"/>
        <w:ind w:left="708.6614173228347" w:hanging="360"/>
        <w:rPr>
          <w:rFonts w:ascii="Times New Roman" w:cs="Times New Roman" w:eastAsia="Times New Roman" w:hAnsi="Times New Roman"/>
          <w:color w:val="ff0000"/>
          <w:sz w:val="24"/>
          <w:szCs w:val="24"/>
          <w:u w:val="none"/>
        </w:rPr>
      </w:pPr>
      <w:r w:rsidDel="00000000" w:rsidR="00000000" w:rsidRPr="00000000">
        <w:rPr>
          <w:rFonts w:ascii="Times New Roman" w:cs="Times New Roman" w:eastAsia="Times New Roman" w:hAnsi="Times New Roman"/>
          <w:color w:val="ff0000"/>
          <w:sz w:val="24"/>
          <w:szCs w:val="24"/>
          <w:rtl w:val="0"/>
        </w:rPr>
        <w:t xml:space="preserve">Merumuskan </w:t>
      </w:r>
      <w:r w:rsidDel="00000000" w:rsidR="00000000" w:rsidRPr="00000000">
        <w:rPr>
          <w:rFonts w:ascii="Times New Roman" w:cs="Times New Roman" w:eastAsia="Times New Roman" w:hAnsi="Times New Roman"/>
          <w:b w:val="1"/>
          <w:color w:val="ff0000"/>
          <w:sz w:val="24"/>
          <w:szCs w:val="24"/>
          <w:rtl w:val="0"/>
        </w:rPr>
        <w:t xml:space="preserve">kerangka hukum adaptif</w:t>
      </w:r>
      <w:r w:rsidDel="00000000" w:rsidR="00000000" w:rsidRPr="00000000">
        <w:rPr>
          <w:rFonts w:ascii="Times New Roman" w:cs="Times New Roman" w:eastAsia="Times New Roman" w:hAnsi="Times New Roman"/>
          <w:color w:val="ff0000"/>
          <w:sz w:val="24"/>
          <w:szCs w:val="24"/>
          <w:rtl w:val="0"/>
        </w:rPr>
        <w:t xml:space="preserve"> di Indonesia yang mengintegrasikan prinsip‑prinsip efisiensi, keadilan, dan kepastian hukum.</w:t>
      </w:r>
      <w:r w:rsidDel="00000000" w:rsidR="00000000" w:rsidRPr="00000000">
        <w:rPr>
          <w:rtl w:val="0"/>
        </w:rPr>
      </w:r>
    </w:p>
    <w:p w:rsidR="00000000" w:rsidDel="00000000" w:rsidP="00000000" w:rsidRDefault="00000000" w:rsidRPr="00000000" w14:paraId="00000017">
      <w:pPr>
        <w:spacing w:line="36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Penelitian ini menjadi krusial untuk mengidentifikasi kebutuhan pengaturan yang mampu memberikan kepastian hukum serta perlindungan hak para pihak, mengingat belum adanya regulasi khusus mengenai kendaraan otonom di Indonesia. Penelitian ini bertujuan untuk menelaah secara mendalam aspek tanggung jawab perdata dalam kasus kecelakaan AV berdasarkan doktrin perbuatan melawan hukum berdasarkan hukum yang berlaku di Indonesia dan mengusulkan konstruksi hukum yang lebih adaptif melalui pendekatan komparatif terhadap sistem hukum negara-negara yang telah lebih dahulu menghadapi fenomena ini. Analisis ini tidak hanya akan menggali aspek teknis dari kegagalan sistem AV, tetapi juga menyoroti permasalahan pembuktian kesalahan dan kausalitas yang ada. Hasil penelitian diharapkan dapat menjadi dasar bagi pengembangan regulasi yang lebih komprehensif di era digital, sekaligus memberikan kontribusi pemikiran dalam penyelesaian persoalan hukum global terkait AV.</w:t>
      </w:r>
      <w:r w:rsidDel="00000000" w:rsidR="00000000" w:rsidRPr="00000000">
        <w:rPr>
          <w:rtl w:val="0"/>
        </w:rPr>
      </w:r>
    </w:p>
    <w:p w:rsidR="00000000" w:rsidDel="00000000" w:rsidP="00000000" w:rsidRDefault="00000000" w:rsidRPr="00000000" w14:paraId="00000018">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Style w:val="Heading2"/>
        <w:numPr>
          <w:ilvl w:val="1"/>
          <w:numId w:val="13"/>
        </w:numPr>
        <w:spacing w:after="0" w:before="40" w:line="360" w:lineRule="auto"/>
        <w:ind w:left="360"/>
        <w:rPr>
          <w:b w:val="1"/>
          <w:sz w:val="24"/>
          <w:szCs w:val="24"/>
        </w:rPr>
      </w:pPr>
      <w:bookmarkStart w:colFirst="0" w:colLast="0" w:name="_tyjcwt" w:id="4"/>
      <w:bookmarkEnd w:id="4"/>
      <w:r w:rsidDel="00000000" w:rsidR="00000000" w:rsidRPr="00000000">
        <w:rPr>
          <w:rFonts w:ascii="Times New Roman" w:cs="Times New Roman" w:eastAsia="Times New Roman" w:hAnsi="Times New Roman"/>
          <w:b w:val="1"/>
          <w:sz w:val="24"/>
          <w:szCs w:val="24"/>
          <w:rtl w:val="0"/>
        </w:rPr>
        <w:t xml:space="preserve">Rumusan Masalah</w:t>
      </w:r>
    </w:p>
    <w:p w:rsidR="00000000" w:rsidDel="00000000" w:rsidP="00000000" w:rsidRDefault="00000000" w:rsidRPr="00000000" w14:paraId="0000001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Dari latar belakang masalah di atas dapat dirumuskan suatu rumusan masalah sebagai bahan penelitian dalam penulisan ini yaitu :</w:t>
      </w:r>
    </w:p>
    <w:p w:rsidR="00000000" w:rsidDel="00000000" w:rsidP="00000000" w:rsidRDefault="00000000" w:rsidRPr="00000000" w14:paraId="0000001B">
      <w:pPr>
        <w:numPr>
          <w:ilvl w:val="0"/>
          <w:numId w:val="9"/>
        </w:numPr>
        <w:tabs>
          <w:tab w:val="left" w:leader="none" w:pos="0"/>
        </w:tabs>
        <w:spacing w:line="360" w:lineRule="auto"/>
        <w:ind w:left="1530" w:right="197" w:hanging="5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analisis perbuatan melawan hukum terhadap kecelakaan kendaraan otonom dalam hukum Indonesia?</w:t>
      </w:r>
    </w:p>
    <w:p w:rsidR="00000000" w:rsidDel="00000000" w:rsidP="00000000" w:rsidRDefault="00000000" w:rsidRPr="00000000" w14:paraId="0000001C">
      <w:pPr>
        <w:numPr>
          <w:ilvl w:val="0"/>
          <w:numId w:val="9"/>
        </w:numPr>
        <w:tabs>
          <w:tab w:val="left" w:leader="none" w:pos="0"/>
        </w:tabs>
        <w:spacing w:line="360" w:lineRule="auto"/>
        <w:ind w:left="1530" w:right="197" w:hanging="5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pendekatan hukum komparatif terhadap pertanggungjawaban perdata atas kecelakaan kendaraan otonom khususnya dalam hal pembagian tanggung jawab antara produsen, pengguna, dan pengembang sistem kecerdasan buatan serta penerapan model tanggung jawab hukum (</w:t>
      </w:r>
      <w:r w:rsidDel="00000000" w:rsidR="00000000" w:rsidRPr="00000000">
        <w:rPr>
          <w:rFonts w:ascii="Times New Roman" w:cs="Times New Roman" w:eastAsia="Times New Roman" w:hAnsi="Times New Roman"/>
          <w:i w:val="1"/>
          <w:sz w:val="24"/>
          <w:szCs w:val="24"/>
          <w:rtl w:val="0"/>
        </w:rPr>
        <w:t xml:space="preserve">strict liability</w:t>
      </w:r>
      <w:r w:rsidDel="00000000" w:rsidR="00000000" w:rsidRPr="00000000">
        <w:rPr>
          <w:rFonts w:ascii="Times New Roman" w:cs="Times New Roman" w:eastAsia="Times New Roman" w:hAnsi="Times New Roman"/>
          <w:sz w:val="24"/>
          <w:szCs w:val="24"/>
          <w:rtl w:val="0"/>
        </w:rPr>
        <w:t xml:space="preserve"> atau </w:t>
      </w:r>
      <w:r w:rsidDel="00000000" w:rsidR="00000000" w:rsidRPr="00000000">
        <w:rPr>
          <w:rFonts w:ascii="Times New Roman" w:cs="Times New Roman" w:eastAsia="Times New Roman" w:hAnsi="Times New Roman"/>
          <w:i w:val="1"/>
          <w:sz w:val="24"/>
          <w:szCs w:val="24"/>
          <w:rtl w:val="0"/>
        </w:rPr>
        <w:t xml:space="preserve">fault-based liability</w:t>
      </w:r>
      <w:r w:rsidDel="00000000" w:rsidR="00000000" w:rsidRPr="00000000">
        <w:rPr>
          <w:rFonts w:ascii="Times New Roman" w:cs="Times New Roman" w:eastAsia="Times New Roman" w:hAnsi="Times New Roman"/>
          <w:sz w:val="24"/>
          <w:szCs w:val="24"/>
          <w:rtl w:val="0"/>
        </w:rPr>
        <w:t xml:space="preserve">) dalam sistem hukum di Indonesia?</w:t>
      </w:r>
    </w:p>
    <w:p w:rsidR="00000000" w:rsidDel="00000000" w:rsidP="00000000" w:rsidRDefault="00000000" w:rsidRPr="00000000" w14:paraId="0000001D">
      <w:pPr>
        <w:spacing w:line="36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Style w:val="Heading2"/>
        <w:numPr>
          <w:ilvl w:val="1"/>
          <w:numId w:val="13"/>
        </w:numPr>
        <w:spacing w:after="0" w:before="40" w:line="360" w:lineRule="auto"/>
        <w:ind w:left="360"/>
        <w:rPr>
          <w:b w:val="1"/>
          <w:sz w:val="24"/>
          <w:szCs w:val="24"/>
        </w:rPr>
      </w:pPr>
      <w:bookmarkStart w:colFirst="0" w:colLast="0" w:name="_3dy6vkm" w:id="5"/>
      <w:bookmarkEnd w:id="5"/>
      <w:r w:rsidDel="00000000" w:rsidR="00000000" w:rsidRPr="00000000">
        <w:rPr>
          <w:rFonts w:ascii="Times New Roman" w:cs="Times New Roman" w:eastAsia="Times New Roman" w:hAnsi="Times New Roman"/>
          <w:b w:val="1"/>
          <w:sz w:val="24"/>
          <w:szCs w:val="24"/>
          <w:rtl w:val="0"/>
        </w:rPr>
        <w:t xml:space="preserve">Tujuan Penelitian</w:t>
      </w:r>
    </w:p>
    <w:p w:rsidR="00000000" w:rsidDel="00000000" w:rsidP="00000000" w:rsidRDefault="00000000" w:rsidRPr="00000000" w14:paraId="0000001F">
      <w:pPr>
        <w:spacing w:line="360" w:lineRule="auto"/>
        <w:ind w:left="0" w:firstLine="720"/>
        <w:rPr>
          <w:rFonts w:ascii="Times New Roman" w:cs="Times New Roman" w:eastAsia="Times New Roman" w:hAnsi="Times New Roman"/>
          <w:b w:val="1"/>
          <w:sz w:val="24"/>
          <w:szCs w:val="24"/>
        </w:rPr>
      </w:pPr>
      <w:bookmarkStart w:colFirst="0" w:colLast="0" w:name="_1t3h5sf" w:id="6"/>
      <w:bookmarkEnd w:id="6"/>
      <w:r w:rsidDel="00000000" w:rsidR="00000000" w:rsidRPr="00000000">
        <w:rPr>
          <w:rFonts w:ascii="Times New Roman" w:cs="Times New Roman" w:eastAsia="Times New Roman" w:hAnsi="Times New Roman"/>
          <w:sz w:val="24"/>
          <w:szCs w:val="24"/>
          <w:rtl w:val="0"/>
        </w:rPr>
        <w:t xml:space="preserve">Adapun tujuan yang ingin dicapai penelitian ini adalah sebagai berikut:</w:t>
      </w:r>
      <w:r w:rsidDel="00000000" w:rsidR="00000000" w:rsidRPr="00000000">
        <w:rPr>
          <w:rtl w:val="0"/>
        </w:rPr>
      </w:r>
    </w:p>
    <w:p w:rsidR="00000000" w:rsidDel="00000000" w:rsidP="00000000" w:rsidRDefault="00000000" w:rsidRPr="00000000" w14:paraId="00000020">
      <w:pPr>
        <w:numPr>
          <w:ilvl w:val="0"/>
          <w:numId w:val="7"/>
        </w:numPr>
        <w:tabs>
          <w:tab w:val="left" w:leader="none" w:pos="720"/>
        </w:tabs>
        <w:spacing w:before="40" w:line="360" w:lineRule="auto"/>
        <w:ind w:left="12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Mengetahui dan menganalisis penerapan konsep perbuatan melawan hukum (</w:t>
      </w:r>
      <w:r w:rsidDel="00000000" w:rsidR="00000000" w:rsidRPr="00000000">
        <w:rPr>
          <w:rFonts w:ascii="Times New Roman" w:cs="Times New Roman" w:eastAsia="Times New Roman" w:hAnsi="Times New Roman"/>
          <w:i w:val="1"/>
          <w:sz w:val="24"/>
          <w:szCs w:val="24"/>
          <w:rtl w:val="0"/>
        </w:rPr>
        <w:t xml:space="preserve">onrechtmatige daad</w:t>
      </w:r>
      <w:r w:rsidDel="00000000" w:rsidR="00000000" w:rsidRPr="00000000">
        <w:rPr>
          <w:rFonts w:ascii="Times New Roman" w:cs="Times New Roman" w:eastAsia="Times New Roman" w:hAnsi="Times New Roman"/>
          <w:sz w:val="24"/>
          <w:szCs w:val="24"/>
          <w:rtl w:val="0"/>
        </w:rPr>
        <w:t xml:space="preserve">) dalam konteks kecelakaan yang disebabkan oleh kendaraan otonom menurut sistem hukum Indonesia, khususnya dalam ketentuan Pasal 1365 Kitab Undang-Undang Hukum Perdata (KUH Perdata) dan praktik hukum di Indonesia, serta menilai relevansi dan kecukupan norma tersebut dalam menjawab tantangan hukum yang ditimbulkan oleh teknologi otonom. </w:t>
      </w:r>
    </w:p>
    <w:p w:rsidR="00000000" w:rsidDel="00000000" w:rsidP="00000000" w:rsidRDefault="00000000" w:rsidRPr="00000000" w14:paraId="00000021">
      <w:pPr>
        <w:numPr>
          <w:ilvl w:val="0"/>
          <w:numId w:val="7"/>
        </w:numPr>
        <w:tabs>
          <w:tab w:val="left" w:leader="none" w:pos="720"/>
        </w:tabs>
        <w:spacing w:line="360" w:lineRule="auto"/>
        <w:ind w:left="12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Mengkaji pendekatan hukum komparatif terkait pertanggungjawaban perdata atas kecelakaan kendaraan otonom yang melibatkan berbagai pihak, yaitu produsen, pengguna, dan pengembang sistem kecerdasan buatan, di berbagai yurisdiksi yang telah memiliki regulasi khusus guna mengevaluasi kemungkinan adopsi atau adaptasi prinsip-prinsip hukum asing ke dalam sistem hukum Indonesia dalam rangka membangun kerangka hukum nasional yang responsif terhadap perkembangan teknologi. Penelitian ini bertujuan untuk mengeksplorasi penerapan dua model pertanggungjawaban hukum (</w:t>
      </w:r>
      <w:r w:rsidDel="00000000" w:rsidR="00000000" w:rsidRPr="00000000">
        <w:rPr>
          <w:rFonts w:ascii="Times New Roman" w:cs="Times New Roman" w:eastAsia="Times New Roman" w:hAnsi="Times New Roman"/>
          <w:i w:val="1"/>
          <w:sz w:val="24"/>
          <w:szCs w:val="24"/>
          <w:rtl w:val="0"/>
        </w:rPr>
        <w:t xml:space="preserve">strict liability</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fault-based liability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2">
      <w:pPr>
        <w:tabs>
          <w:tab w:val="left" w:leader="none" w:pos="720"/>
        </w:tabs>
        <w:spacing w:before="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Penelitian ini diharapkan dapat memberikan kontribusi konseptual yang relevan bagi pembuat kebijakan, produsen, pengguna, dan pengembang kecerdasan buatan dalam membangun kerangka hukum nasional yang menjamin kepastian hukum, keadilan, serta perlindungan terhadap masyarakat sebagai pengguna teknologi otonom yang jelas dan adil untuk pertanggungjawaban perdata atas kecelakaan  kendaraan otonom di Indonesia sekaligus memberikan dasar bagi pengembangan regulasi yang sesuai dengan perkembangan teknologi kendaraan otonom di masa depan.</w:t>
      </w:r>
    </w:p>
    <w:p w:rsidR="00000000" w:rsidDel="00000000" w:rsidP="00000000" w:rsidRDefault="00000000" w:rsidRPr="00000000" w14:paraId="00000023">
      <w:pPr>
        <w:tabs>
          <w:tab w:val="left" w:leader="none" w:pos="720"/>
        </w:tabs>
        <w:spacing w:before="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pStyle w:val="Heading2"/>
        <w:numPr>
          <w:ilvl w:val="1"/>
          <w:numId w:val="13"/>
        </w:numPr>
        <w:spacing w:after="0" w:before="40" w:line="360" w:lineRule="auto"/>
        <w:ind w:left="360"/>
        <w:rPr>
          <w:b w:val="1"/>
          <w:sz w:val="24"/>
          <w:szCs w:val="24"/>
        </w:rPr>
      </w:pPr>
      <w:bookmarkStart w:colFirst="0" w:colLast="0" w:name="_4d34og8" w:id="7"/>
      <w:bookmarkEnd w:id="7"/>
      <w:r w:rsidDel="00000000" w:rsidR="00000000" w:rsidRPr="00000000">
        <w:rPr>
          <w:rFonts w:ascii="Times New Roman" w:cs="Times New Roman" w:eastAsia="Times New Roman" w:hAnsi="Times New Roman"/>
          <w:b w:val="1"/>
          <w:sz w:val="24"/>
          <w:szCs w:val="24"/>
          <w:rtl w:val="0"/>
        </w:rPr>
        <w:t xml:space="preserve">Manfaat Penelitian</w:t>
      </w:r>
    </w:p>
    <w:p w:rsidR="00000000" w:rsidDel="00000000" w:rsidP="00000000" w:rsidRDefault="00000000" w:rsidRPr="00000000" w14:paraId="00000025">
      <w:pPr>
        <w:spacing w:line="360" w:lineRule="auto"/>
        <w:ind w:left="45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yang dilakukan pada dasarnya diharapkan dapat memberikan manfaat, dengan masing – masing manfaat tersebut adalah sebagai berikut:</w:t>
      </w:r>
    </w:p>
    <w:p w:rsidR="00000000" w:rsidDel="00000000" w:rsidP="00000000" w:rsidRDefault="00000000" w:rsidRPr="00000000" w14:paraId="00000026">
      <w:pPr>
        <w:numPr>
          <w:ilvl w:val="2"/>
          <w:numId w:val="10"/>
        </w:numPr>
        <w:spacing w:line="360" w:lineRule="auto"/>
        <w:ind w:left="117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Manfaat Teoritis</w:t>
      </w:r>
    </w:p>
    <w:p w:rsidR="00000000" w:rsidDel="00000000" w:rsidP="00000000" w:rsidRDefault="00000000" w:rsidRPr="00000000" w14:paraId="00000027">
      <w:pPr>
        <w:spacing w:line="360" w:lineRule="auto"/>
        <w:ind w:left="117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Manfaat penelitian ini diharapkan dapat memberikan kontribusi dalam pengembangan ilmu hukum khususnya dalam bidang hukum perdata dan hukum teknologi dengan memperluas pemahaman mengenai penerapan konsep perbuatan melawan hukum dalam konteks kecelakaan yang disebabkan oleh kendaraan otonom. Selain itu, penelitian ini juga bertujuan untuk memperkaya literatur hukum di Indonesia melalui analisis komparatif terhadap regulasi kendaraan otonom di berbagai negara sehingga dapat menjadi pijakan akademik bagi perumusan norma hukum baru yang adaptif terhadap perkembangan teknologi.</w:t>
      </w:r>
    </w:p>
    <w:p w:rsidR="00000000" w:rsidDel="00000000" w:rsidP="00000000" w:rsidRDefault="00000000" w:rsidRPr="00000000" w14:paraId="00000028">
      <w:pPr>
        <w:numPr>
          <w:ilvl w:val="2"/>
          <w:numId w:val="10"/>
        </w:numPr>
        <w:spacing w:line="360" w:lineRule="auto"/>
        <w:ind w:left="117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Manfaat Praktis</w:t>
      </w:r>
    </w:p>
    <w:p w:rsidR="00000000" w:rsidDel="00000000" w:rsidP="00000000" w:rsidRDefault="00000000" w:rsidRPr="00000000" w14:paraId="00000029">
      <w:pPr>
        <w:spacing w:line="360" w:lineRule="auto"/>
        <w:ind w:left="117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ini diharapkan dapat memberikan rekomendasi yang aplikatif bagi pemerintah dan pembuat kebijakan (legislator), pelaku industri otomotif, dan masyarakat umum, dalam memahami batas dan bentuk pertanggungjawaban perdata atas kecelakaan yang melibatkan kendaraan otonom.</w:t>
      </w:r>
    </w:p>
    <w:p w:rsidR="00000000" w:rsidDel="00000000" w:rsidP="00000000" w:rsidRDefault="00000000" w:rsidRPr="00000000" w14:paraId="0000002A">
      <w:pPr>
        <w:spacing w:line="360" w:lineRule="auto"/>
        <w:ind w:left="117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Bagi pemerintah dan pembuat kebijakan, penelitian ini dapat memberikan  masukan dalam merumuskan dan menyusun regulasi yang komprehensif mengenai kendaraan otonom, khususnya dalam aspek pertanggungjawaban perdata apabila terjadi kecelakaan. Dengan demikian, pemerintah dapat mengantisipasi perkembangan teknologi melalui pendekatan hukum yang progresif dan adaptif serta menjamin perlindungan hukum bagi masyarakat dalam menghadapi era otomasi di sektor transportasi.</w:t>
      </w:r>
    </w:p>
    <w:p w:rsidR="00000000" w:rsidDel="00000000" w:rsidP="00000000" w:rsidRDefault="00000000" w:rsidRPr="00000000" w14:paraId="0000002B">
      <w:pPr>
        <w:spacing w:line="360" w:lineRule="auto"/>
        <w:ind w:left="117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bagi pelaku industri otomotif, penelitian ini dapat menjadi acuan bagi para pelaku industri dan pengembang teknologi kendaraan otonom dalam memahami aspek hukum yang berkaitan dengan tanggung jawab hukum perdata  atas kegagalan sistem atau cacat produk. Melalui pemahaman yang tepat terhadap potensi risiko hukum, perusahaan dapat mengembangkan sistem mitigasi risiko, standarisasi keamanan, dan perjanjian kontraktual yang memadai sebagai bentuk perlindungan hukum preventif.</w:t>
      </w:r>
    </w:p>
    <w:p w:rsidR="00000000" w:rsidDel="00000000" w:rsidP="00000000" w:rsidRDefault="00000000" w:rsidRPr="00000000" w14:paraId="0000002C">
      <w:pPr>
        <w:spacing w:line="360" w:lineRule="auto"/>
        <w:ind w:left="1170" w:firstLine="720"/>
        <w:jc w:val="both"/>
        <w:rPr/>
      </w:pPr>
      <w:r w:rsidDel="00000000" w:rsidR="00000000" w:rsidRPr="00000000">
        <w:rPr>
          <w:rFonts w:ascii="Times New Roman" w:cs="Times New Roman" w:eastAsia="Times New Roman" w:hAnsi="Times New Roman"/>
          <w:sz w:val="24"/>
          <w:szCs w:val="24"/>
          <w:rtl w:val="0"/>
        </w:rPr>
        <w:t xml:space="preserve">Bagi masyarakat umum, penelitian ini memberikan kontribusi dalam meningkatkan pemahaman masyarakat mengenai hak dan kewajiban mereka sebagai pengguna teknologi kendaraan otonom. Melalui analisis hukum yang komprehensif, masyarakat akan memperoleh gambaran yang lebih jelas mengenai bentuk pertanggungjawaban yang dapat dimintakan apabila terjadi kerugian serta sejauh mana perlindungan hukum dapat diberikan dalam konteks penggunaan teknologi cerdas di ruang publik.</w:t>
      </w:r>
      <w:r w:rsidDel="00000000" w:rsidR="00000000" w:rsidRPr="00000000">
        <w:rPr>
          <w:rtl w:val="0"/>
        </w:rPr>
      </w:r>
    </w:p>
    <w:p w:rsidR="00000000" w:rsidDel="00000000" w:rsidP="00000000" w:rsidRDefault="00000000" w:rsidRPr="00000000" w14:paraId="0000002D">
      <w:pPr>
        <w:numPr>
          <w:ilvl w:val="1"/>
          <w:numId w:val="13"/>
        </w:numPr>
        <w:spacing w:line="360" w:lineRule="auto"/>
        <w:ind w:left="425.19685039370086" w:hanging="425.19685039370086"/>
        <w:rPr>
          <w:sz w:val="24"/>
          <w:szCs w:val="24"/>
        </w:rPr>
      </w:pPr>
      <w:r w:rsidDel="00000000" w:rsidR="00000000" w:rsidRPr="00000000">
        <w:rPr>
          <w:rFonts w:ascii="Times New Roman" w:cs="Times New Roman" w:eastAsia="Times New Roman" w:hAnsi="Times New Roman"/>
          <w:b w:val="1"/>
          <w:sz w:val="24"/>
          <w:szCs w:val="24"/>
          <w:rtl w:val="0"/>
        </w:rPr>
        <w:t xml:space="preserve">Kerangka Berpikir</w:t>
      </w:r>
    </w:p>
    <w:p w:rsidR="00000000" w:rsidDel="00000000" w:rsidP="00000000" w:rsidRDefault="00000000" w:rsidRPr="00000000" w14:paraId="0000002E">
      <w:pPr>
        <w:numPr>
          <w:ilvl w:val="1"/>
          <w:numId w:val="13"/>
        </w:numPr>
        <w:spacing w:line="360" w:lineRule="auto"/>
        <w:ind w:left="425.19685039370086" w:hanging="425.19685039370086"/>
        <w:rPr>
          <w:sz w:val="24"/>
          <w:szCs w:val="24"/>
        </w:rPr>
      </w:pPr>
      <w:r w:rsidDel="00000000" w:rsidR="00000000" w:rsidRPr="00000000">
        <w:rPr>
          <w:rFonts w:ascii="Times New Roman" w:cs="Times New Roman" w:eastAsia="Times New Roman" w:hAnsi="Times New Roman"/>
          <w:b w:val="1"/>
          <w:sz w:val="24"/>
          <w:szCs w:val="24"/>
          <w:rtl w:val="0"/>
        </w:rPr>
        <w:t xml:space="preserve">Orisinalitas Penelitian</w:t>
      </w:r>
    </w:p>
    <w:p w:rsidR="00000000" w:rsidDel="00000000" w:rsidP="00000000" w:rsidRDefault="00000000" w:rsidRPr="00000000" w14:paraId="0000002F">
      <w:pPr>
        <w:spacing w:line="360" w:lineRule="auto"/>
        <w:ind w:left="786" w:firstLine="0"/>
        <w:rPr>
          <w:rFonts w:ascii="Times New Roman" w:cs="Times New Roman" w:eastAsia="Times New Roman" w:hAnsi="Times New Roman"/>
          <w:b w:val="1"/>
          <w:sz w:val="24"/>
          <w:szCs w:val="24"/>
        </w:rPr>
      </w:pPr>
      <w:r w:rsidDel="00000000" w:rsidR="00000000" w:rsidRPr="00000000">
        <w:rPr>
          <w:rtl w:val="0"/>
        </w:rPr>
      </w:r>
    </w:p>
    <w:tbl>
      <w:tblPr>
        <w:tblStyle w:val="Table1"/>
        <w:tblW w:w="8175.0" w:type="dxa"/>
        <w:jc w:val="left"/>
        <w:tblInd w:w="78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0"/>
        <w:gridCol w:w="2700"/>
        <w:gridCol w:w="1635"/>
        <w:gridCol w:w="1635"/>
        <w:gridCol w:w="1635"/>
        <w:tblGridChange w:id="0">
          <w:tblGrid>
            <w:gridCol w:w="570"/>
            <w:gridCol w:w="2700"/>
            <w:gridCol w:w="1635"/>
            <w:gridCol w:w="1635"/>
            <w:gridCol w:w="16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Judul/Penulis/Instansi/Tahun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Rumusan Masalah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Persamaan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Perbedaan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3A">
      <w:pPr>
        <w:spacing w:line="360" w:lineRule="auto"/>
        <w:ind w:left="786"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numPr>
          <w:ilvl w:val="1"/>
          <w:numId w:val="13"/>
        </w:numPr>
        <w:spacing w:line="360" w:lineRule="auto"/>
        <w:ind w:left="425.19685039370086" w:hanging="425.19685039370086"/>
        <w:rPr>
          <w:sz w:val="24"/>
          <w:szCs w:val="24"/>
        </w:rPr>
      </w:pPr>
      <w:r w:rsidDel="00000000" w:rsidR="00000000" w:rsidRPr="00000000">
        <w:rPr>
          <w:rFonts w:ascii="Times New Roman" w:cs="Times New Roman" w:eastAsia="Times New Roman" w:hAnsi="Times New Roman"/>
          <w:b w:val="1"/>
          <w:sz w:val="24"/>
          <w:szCs w:val="24"/>
          <w:rtl w:val="0"/>
        </w:rPr>
        <w:t xml:space="preserve">Sistem Penulisan</w:t>
      </w:r>
    </w:p>
    <w:p w:rsidR="00000000" w:rsidDel="00000000" w:rsidP="00000000" w:rsidRDefault="00000000" w:rsidRPr="00000000" w14:paraId="0000003C">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 ini disusun dalam 4 (empat) bab yang masing-masing berisi topik tertentu guna membuat penelitian lebih mudah dipahami. Berikut adalah pembagian isi dari setiap bab:</w:t>
      </w:r>
    </w:p>
    <w:p w:rsidR="00000000" w:rsidDel="00000000" w:rsidP="00000000" w:rsidRDefault="00000000" w:rsidRPr="00000000" w14:paraId="0000003D">
      <w:pPr>
        <w:spacing w:line="360" w:lineRule="auto"/>
        <w:ind w:left="7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Bab I Pendahuluan,</w:t>
      </w:r>
      <w:r w:rsidDel="00000000" w:rsidR="00000000" w:rsidRPr="00000000">
        <w:rPr>
          <w:rFonts w:ascii="Times New Roman" w:cs="Times New Roman" w:eastAsia="Times New Roman" w:hAnsi="Times New Roman"/>
          <w:sz w:val="24"/>
          <w:szCs w:val="24"/>
          <w:rtl w:val="0"/>
        </w:rPr>
        <w:t xml:space="preserve"> Pada bab ini membahas latar belakang masalah, perumusan masalah, tujuan penelitian, kerangka berpikir, referensi dari penelitian sebelumnya, metode yang digunakan, serta sistematika penulisan penelitian.</w:t>
      </w:r>
    </w:p>
    <w:p w:rsidR="00000000" w:rsidDel="00000000" w:rsidP="00000000" w:rsidRDefault="00000000" w:rsidRPr="00000000" w14:paraId="0000003E">
      <w:pPr>
        <w:spacing w:line="360" w:lineRule="auto"/>
        <w:ind w:left="7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Bab II Kajian Pustaka</w:t>
      </w:r>
      <w:r w:rsidDel="00000000" w:rsidR="00000000" w:rsidRPr="00000000">
        <w:rPr>
          <w:rFonts w:ascii="Times New Roman" w:cs="Times New Roman" w:eastAsia="Times New Roman" w:hAnsi="Times New Roman"/>
          <w:sz w:val="24"/>
          <w:szCs w:val="24"/>
          <w:rtl w:val="0"/>
        </w:rPr>
        <w:t xml:space="preserve">, Berisi uraian teori-teori yang relevan untuk membantu menjawab rumusan masalah penelitian, yang mendasari dan memperkuat argumen penelitian.</w:t>
      </w:r>
    </w:p>
    <w:p w:rsidR="00000000" w:rsidDel="00000000" w:rsidP="00000000" w:rsidRDefault="00000000" w:rsidRPr="00000000" w14:paraId="0000003F">
      <w:pPr>
        <w:spacing w:line="360" w:lineRule="auto"/>
        <w:ind w:left="7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Bab III Metode Penelitian,</w:t>
      </w:r>
      <w:r w:rsidDel="00000000" w:rsidR="00000000" w:rsidRPr="00000000">
        <w:rPr>
          <w:rFonts w:ascii="Times New Roman" w:cs="Times New Roman" w:eastAsia="Times New Roman" w:hAnsi="Times New Roman"/>
          <w:sz w:val="24"/>
          <w:szCs w:val="24"/>
          <w:rtl w:val="0"/>
        </w:rPr>
        <w:t xml:space="preserve"> Menyajikan beberapa aspek penting yang berkaitan dengan cara atau prosedur penelitian dilakukan. Secara umum, metode penelitian mencakup pendekatan penelitian, bahan hukum, teknik pengumpulan bahan hukum, teknik pengolahan bahan hukum, hingga teknik analisis bahan hukum.</w:t>
      </w:r>
    </w:p>
    <w:p w:rsidR="00000000" w:rsidDel="00000000" w:rsidP="00000000" w:rsidRDefault="00000000" w:rsidRPr="00000000" w14:paraId="00000040">
      <w:pPr>
        <w:spacing w:line="360" w:lineRule="auto"/>
        <w:ind w:left="786"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Bab IV Pembahasan,</w:t>
      </w:r>
      <w:r w:rsidDel="00000000" w:rsidR="00000000" w:rsidRPr="00000000">
        <w:rPr>
          <w:rFonts w:ascii="Times New Roman" w:cs="Times New Roman" w:eastAsia="Times New Roman" w:hAnsi="Times New Roman"/>
          <w:sz w:val="24"/>
          <w:szCs w:val="24"/>
          <w:rtl w:val="0"/>
        </w:rPr>
        <w:t xml:space="preserve"> Menyajikan pembahasan mengenai masalah utama penelitian dan hasil dari penelitian yang dilakukan, di mana data diuraikan untuk menjawab permasalahan yang diangkat.</w:t>
      </w:r>
      <w:r w:rsidDel="00000000" w:rsidR="00000000" w:rsidRPr="00000000">
        <w:rPr>
          <w:rtl w:val="0"/>
        </w:rPr>
      </w:r>
    </w:p>
    <w:p w:rsidR="00000000" w:rsidDel="00000000" w:rsidP="00000000" w:rsidRDefault="00000000" w:rsidRPr="00000000" w14:paraId="00000041">
      <w:pPr>
        <w:spacing w:after="160" w:line="360" w:lineRule="auto"/>
        <w:ind w:left="7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BAB V Penutup,</w:t>
      </w:r>
      <w:r w:rsidDel="00000000" w:rsidR="00000000" w:rsidRPr="00000000">
        <w:rPr>
          <w:rFonts w:ascii="Times New Roman" w:cs="Times New Roman" w:eastAsia="Times New Roman" w:hAnsi="Times New Roman"/>
          <w:sz w:val="24"/>
          <w:szCs w:val="24"/>
          <w:rtl w:val="0"/>
        </w:rPr>
        <w:t xml:space="preserve"> Menyajikan kesimpulan dari hasil penelitian serta rekomendasi yang diberikan berdasarkan temuan penelitian tersebut.</w:t>
      </w:r>
    </w:p>
    <w:p w:rsidR="00000000" w:rsidDel="00000000" w:rsidP="00000000" w:rsidRDefault="00000000" w:rsidRPr="00000000" w14:paraId="00000042">
      <w:pPr>
        <w:pStyle w:val="Heading1"/>
        <w:spacing w:after="0" w:before="240" w:line="360" w:lineRule="auto"/>
        <w:jc w:val="left"/>
        <w:rPr>
          <w:rFonts w:ascii="Times New Roman" w:cs="Times New Roman" w:eastAsia="Times New Roman" w:hAnsi="Times New Roman"/>
          <w:b w:val="1"/>
          <w:sz w:val="24"/>
          <w:szCs w:val="24"/>
        </w:rPr>
      </w:pPr>
      <w:bookmarkStart w:colFirst="0" w:colLast="0" w:name="_gi366hx635s6" w:id="8"/>
      <w:bookmarkEnd w:id="8"/>
      <w:r w:rsidDel="00000000" w:rsidR="00000000" w:rsidRPr="00000000">
        <w:br w:type="page"/>
      </w:r>
      <w:r w:rsidDel="00000000" w:rsidR="00000000" w:rsidRPr="00000000">
        <w:rPr>
          <w:rtl w:val="0"/>
        </w:rPr>
      </w:r>
    </w:p>
    <w:p w:rsidR="00000000" w:rsidDel="00000000" w:rsidP="00000000" w:rsidRDefault="00000000" w:rsidRPr="00000000" w14:paraId="00000043">
      <w:pPr>
        <w:pStyle w:val="Heading1"/>
        <w:spacing w:after="0" w:before="240" w:line="360" w:lineRule="auto"/>
        <w:jc w:val="center"/>
        <w:rPr>
          <w:rFonts w:ascii="Times New Roman" w:cs="Times New Roman" w:eastAsia="Times New Roman" w:hAnsi="Times New Roman"/>
          <w:b w:val="1"/>
          <w:sz w:val="24"/>
          <w:szCs w:val="24"/>
        </w:rPr>
      </w:pPr>
      <w:bookmarkStart w:colFirst="0" w:colLast="0" w:name="_xdksio8ndqgs" w:id="9"/>
      <w:bookmarkEnd w:id="9"/>
      <w:r w:rsidDel="00000000" w:rsidR="00000000" w:rsidRPr="00000000">
        <w:rPr>
          <w:rFonts w:ascii="Times New Roman" w:cs="Times New Roman" w:eastAsia="Times New Roman" w:hAnsi="Times New Roman"/>
          <w:b w:val="1"/>
          <w:sz w:val="24"/>
          <w:szCs w:val="24"/>
          <w:rtl w:val="0"/>
        </w:rPr>
        <w:t xml:space="preserve">BAB II</w:t>
      </w:r>
    </w:p>
    <w:p w:rsidR="00000000" w:rsidDel="00000000" w:rsidP="00000000" w:rsidRDefault="00000000" w:rsidRPr="00000000" w14:paraId="00000044">
      <w:pPr>
        <w:pStyle w:val="Heading1"/>
        <w:spacing w:after="0" w:before="240" w:line="360" w:lineRule="auto"/>
        <w:jc w:val="center"/>
        <w:rPr>
          <w:rFonts w:ascii="Times New Roman" w:cs="Times New Roman" w:eastAsia="Times New Roman" w:hAnsi="Times New Roman"/>
          <w:b w:val="1"/>
          <w:sz w:val="24"/>
          <w:szCs w:val="24"/>
        </w:rPr>
      </w:pPr>
      <w:bookmarkStart w:colFirst="0" w:colLast="0" w:name="_wu86tw69orqg" w:id="10"/>
      <w:bookmarkEnd w:id="10"/>
      <w:r w:rsidDel="00000000" w:rsidR="00000000" w:rsidRPr="00000000">
        <w:rPr>
          <w:rFonts w:ascii="Times New Roman" w:cs="Times New Roman" w:eastAsia="Times New Roman" w:hAnsi="Times New Roman"/>
          <w:b w:val="1"/>
          <w:sz w:val="24"/>
          <w:szCs w:val="24"/>
          <w:rtl w:val="0"/>
        </w:rPr>
        <w:t xml:space="preserve">KAJIAN PUSTAKA</w:t>
      </w:r>
    </w:p>
    <w:p w:rsidR="00000000" w:rsidDel="00000000" w:rsidP="00000000" w:rsidRDefault="00000000" w:rsidRPr="00000000" w14:paraId="00000045">
      <w:pPr>
        <w:spacing w:line="360" w:lineRule="auto"/>
        <w:ind w:left="720" w:hanging="36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6">
      <w:pPr>
        <w:pStyle w:val="Heading2"/>
        <w:spacing w:after="0" w:before="40" w:line="360" w:lineRule="auto"/>
        <w:ind w:left="0" w:firstLine="0"/>
        <w:rPr>
          <w:rFonts w:ascii="Times New Roman" w:cs="Times New Roman" w:eastAsia="Times New Roman" w:hAnsi="Times New Roman"/>
          <w:b w:val="1"/>
          <w:sz w:val="24"/>
          <w:szCs w:val="24"/>
        </w:rPr>
      </w:pPr>
      <w:bookmarkStart w:colFirst="0" w:colLast="0" w:name="_5fwbps5z9xh4" w:id="11"/>
      <w:bookmarkEnd w:id="11"/>
      <w:r w:rsidDel="00000000" w:rsidR="00000000" w:rsidRPr="00000000">
        <w:rPr>
          <w:rFonts w:ascii="Times New Roman" w:cs="Times New Roman" w:eastAsia="Times New Roman" w:hAnsi="Times New Roman"/>
          <w:b w:val="1"/>
          <w:sz w:val="24"/>
          <w:szCs w:val="24"/>
          <w:rtl w:val="0"/>
        </w:rPr>
        <w:t xml:space="preserve">2.1 Pasal 1365 KUH Perdata (core-nya PMH)</w:t>
      </w:r>
    </w:p>
    <w:p w:rsidR="00000000" w:rsidDel="00000000" w:rsidP="00000000" w:rsidRDefault="00000000" w:rsidRPr="00000000" w14:paraId="00000047">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Tinjauan Umum Prinsip </w:t>
      </w:r>
      <w:r w:rsidDel="00000000" w:rsidR="00000000" w:rsidRPr="00000000">
        <w:rPr>
          <w:rFonts w:ascii="Times New Roman" w:cs="Times New Roman" w:eastAsia="Times New Roman" w:hAnsi="Times New Roman"/>
          <w:b w:val="1"/>
          <w:i w:val="1"/>
          <w:sz w:val="24"/>
          <w:szCs w:val="24"/>
          <w:rtl w:val="0"/>
        </w:rPr>
        <w:t xml:space="preserve">strict liability</w:t>
      </w:r>
      <w:r w:rsidDel="00000000" w:rsidR="00000000" w:rsidRPr="00000000">
        <w:rPr>
          <w:rFonts w:ascii="Times New Roman" w:cs="Times New Roman" w:eastAsia="Times New Roman" w:hAnsi="Times New Roman"/>
          <w:b w:val="1"/>
          <w:sz w:val="24"/>
          <w:szCs w:val="24"/>
          <w:rtl w:val="0"/>
        </w:rPr>
        <w:t xml:space="preserve"> dan </w:t>
      </w:r>
      <w:r w:rsidDel="00000000" w:rsidR="00000000" w:rsidRPr="00000000">
        <w:rPr>
          <w:rFonts w:ascii="Times New Roman" w:cs="Times New Roman" w:eastAsia="Times New Roman" w:hAnsi="Times New Roman"/>
          <w:b w:val="1"/>
          <w:i w:val="1"/>
          <w:sz w:val="24"/>
          <w:szCs w:val="24"/>
          <w:rtl w:val="0"/>
        </w:rPr>
        <w:t xml:space="preserve">fault-based liability</w:t>
      </w:r>
      <w:r w:rsidDel="00000000" w:rsidR="00000000" w:rsidRPr="00000000">
        <w:rPr>
          <w:rFonts w:ascii="Times New Roman" w:cs="Times New Roman" w:eastAsia="Times New Roman" w:hAnsi="Times New Roman"/>
          <w:b w:val="1"/>
          <w:sz w:val="24"/>
          <w:szCs w:val="24"/>
          <w:rtl w:val="0"/>
        </w:rPr>
        <w:t xml:space="preserve"> di hukum internasional</w:t>
      </w:r>
    </w:p>
    <w:p w:rsidR="00000000" w:rsidDel="00000000" w:rsidP="00000000" w:rsidRDefault="00000000" w:rsidRPr="00000000" w14:paraId="00000048">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Kesenjangan normatif di Indonesia,</w:t>
      </w:r>
    </w:p>
    <w:p w:rsidR="00000000" w:rsidDel="00000000" w:rsidP="00000000" w:rsidRDefault="00000000" w:rsidRPr="00000000" w14:paraId="00000049">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 Potensi pembentukan </w:t>
      </w:r>
      <w:r w:rsidDel="00000000" w:rsidR="00000000" w:rsidRPr="00000000">
        <w:rPr>
          <w:rFonts w:ascii="Times New Roman" w:cs="Times New Roman" w:eastAsia="Times New Roman" w:hAnsi="Times New Roman"/>
          <w:b w:val="1"/>
          <w:i w:val="1"/>
          <w:sz w:val="24"/>
          <w:szCs w:val="24"/>
          <w:rtl w:val="0"/>
        </w:rPr>
        <w:t xml:space="preserve">legal framework</w:t>
      </w:r>
      <w:r w:rsidDel="00000000" w:rsidR="00000000" w:rsidRPr="00000000">
        <w:rPr>
          <w:rFonts w:ascii="Times New Roman" w:cs="Times New Roman" w:eastAsia="Times New Roman" w:hAnsi="Times New Roman"/>
          <w:b w:val="1"/>
          <w:sz w:val="24"/>
          <w:szCs w:val="24"/>
          <w:rtl w:val="0"/>
        </w:rPr>
        <w:t xml:space="preserve"> baru untuk AV (autonomous vehicles)</w:t>
      </w:r>
    </w:p>
    <w:p w:rsidR="00000000" w:rsidDel="00000000" w:rsidP="00000000" w:rsidRDefault="00000000" w:rsidRPr="00000000" w14:paraId="0000004A">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Teori a</w:t>
      </w:r>
    </w:p>
    <w:p w:rsidR="00000000" w:rsidDel="00000000" w:rsidP="00000000" w:rsidRDefault="00000000" w:rsidRPr="00000000" w14:paraId="0000004B">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2.6 Teori b</w:t>
      </w:r>
    </w:p>
    <w:p w:rsidR="00000000" w:rsidDel="00000000" w:rsidP="00000000" w:rsidRDefault="00000000" w:rsidRPr="00000000" w14:paraId="0000004C">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2.7 Teori c</w:t>
      </w:r>
    </w:p>
    <w:p w:rsidR="00000000" w:rsidDel="00000000" w:rsidP="00000000" w:rsidRDefault="00000000" w:rsidRPr="00000000" w14:paraId="0000004D">
      <w:pPr>
        <w:jc w:val="both"/>
        <w:rPr>
          <w:rFonts w:ascii="Trebuchet MS" w:cs="Trebuchet MS" w:eastAsia="Trebuchet MS" w:hAnsi="Trebuchet MS"/>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4E">
      <w:pPr>
        <w:pStyle w:val="Heading1"/>
        <w:spacing w:after="0" w:before="240" w:line="360" w:lineRule="auto"/>
        <w:jc w:val="center"/>
        <w:rPr>
          <w:rFonts w:ascii="Times New Roman" w:cs="Times New Roman" w:eastAsia="Times New Roman" w:hAnsi="Times New Roman"/>
          <w:b w:val="1"/>
          <w:sz w:val="24"/>
          <w:szCs w:val="24"/>
        </w:rPr>
      </w:pPr>
      <w:bookmarkStart w:colFirst="0" w:colLast="0" w:name="_6wu022vq8qgy" w:id="12"/>
      <w:bookmarkEnd w:id="12"/>
      <w:r w:rsidDel="00000000" w:rsidR="00000000" w:rsidRPr="00000000">
        <w:rPr>
          <w:rFonts w:ascii="Times New Roman" w:cs="Times New Roman" w:eastAsia="Times New Roman" w:hAnsi="Times New Roman"/>
          <w:b w:val="1"/>
          <w:sz w:val="24"/>
          <w:szCs w:val="24"/>
          <w:rtl w:val="0"/>
        </w:rPr>
        <w:t xml:space="preserve">BAB III</w:t>
      </w:r>
    </w:p>
    <w:p w:rsidR="00000000" w:rsidDel="00000000" w:rsidP="00000000" w:rsidRDefault="00000000" w:rsidRPr="00000000" w14:paraId="0000004F">
      <w:pPr>
        <w:pStyle w:val="Heading1"/>
        <w:spacing w:after="0" w:before="240" w:line="360" w:lineRule="auto"/>
        <w:jc w:val="center"/>
        <w:rPr>
          <w:rFonts w:ascii="Times New Roman" w:cs="Times New Roman" w:eastAsia="Times New Roman" w:hAnsi="Times New Roman"/>
          <w:b w:val="1"/>
          <w:sz w:val="24"/>
          <w:szCs w:val="24"/>
        </w:rPr>
      </w:pPr>
      <w:bookmarkStart w:colFirst="0" w:colLast="0" w:name="_siko8ew0u9pz" w:id="13"/>
      <w:bookmarkEnd w:id="13"/>
      <w:r w:rsidDel="00000000" w:rsidR="00000000" w:rsidRPr="00000000">
        <w:rPr>
          <w:rFonts w:ascii="Times New Roman" w:cs="Times New Roman" w:eastAsia="Times New Roman" w:hAnsi="Times New Roman"/>
          <w:b w:val="1"/>
          <w:sz w:val="24"/>
          <w:szCs w:val="24"/>
          <w:rtl w:val="0"/>
        </w:rPr>
        <w:t xml:space="preserve">METODE PENELITIAN</w:t>
      </w:r>
    </w:p>
    <w:p w:rsidR="00000000" w:rsidDel="00000000" w:rsidP="00000000" w:rsidRDefault="00000000" w:rsidRPr="00000000" w14:paraId="00000050">
      <w:pPr>
        <w:spacing w:line="360" w:lineRule="auto"/>
        <w:ind w:left="720" w:hanging="36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1">
      <w:pPr>
        <w:spacing w:after="0" w:before="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ini menggunakan metode penelitian hukum normatif, yaitu metode yang menekankan pada analisis terhadap norma-norma hukum yang berlaku, baik yang tertulis dalam peraturan perundang-undangan maupun dalam putusan pengadilan dan doktrin para ahli hukum (</w:t>
      </w:r>
      <w:r w:rsidDel="00000000" w:rsidR="00000000" w:rsidRPr="00000000">
        <w:rPr>
          <w:rFonts w:ascii="Times New Roman" w:cs="Times New Roman" w:eastAsia="Times New Roman" w:hAnsi="Times New Roman"/>
          <w:i w:val="1"/>
          <w:sz w:val="24"/>
          <w:szCs w:val="24"/>
          <w:rtl w:val="0"/>
        </w:rPr>
        <w:t xml:space="preserve">doctrine of jurists</w:t>
      </w:r>
      <w:r w:rsidDel="00000000" w:rsidR="00000000" w:rsidRPr="00000000">
        <w:rPr>
          <w:rFonts w:ascii="Times New Roman" w:cs="Times New Roman" w:eastAsia="Times New Roman" w:hAnsi="Times New Roman"/>
          <w:sz w:val="24"/>
          <w:szCs w:val="24"/>
          <w:rtl w:val="0"/>
        </w:rPr>
        <w:t xml:space="preserve">). Pendekatan ini digunakan untuk menelaah dan menginterpretasikan prinsip-prinsip hukum yang relevan dalam menjawab permasalahan mengenai pertanggungjawaban perdata atas kecelakaan yang melibatkan kendaraan otonom (</w:t>
      </w:r>
      <w:r w:rsidDel="00000000" w:rsidR="00000000" w:rsidRPr="00000000">
        <w:rPr>
          <w:rFonts w:ascii="Times New Roman" w:cs="Times New Roman" w:eastAsia="Times New Roman" w:hAnsi="Times New Roman"/>
          <w:i w:val="1"/>
          <w:sz w:val="24"/>
          <w:szCs w:val="24"/>
          <w:rtl w:val="0"/>
        </w:rPr>
        <w:t xml:space="preserve">autonomous vehicles</w:t>
      </w:r>
      <w:r w:rsidDel="00000000" w:rsidR="00000000" w:rsidRPr="00000000">
        <w:rPr>
          <w:rFonts w:ascii="Times New Roman" w:cs="Times New Roman" w:eastAsia="Times New Roman" w:hAnsi="Times New Roman"/>
          <w:sz w:val="24"/>
          <w:szCs w:val="24"/>
          <w:rtl w:val="0"/>
        </w:rPr>
        <w:t xml:space="preserve">), khususnya dalam konteks perbuatan melawan hukum (</w:t>
      </w:r>
      <w:r w:rsidDel="00000000" w:rsidR="00000000" w:rsidRPr="00000000">
        <w:rPr>
          <w:rFonts w:ascii="Times New Roman" w:cs="Times New Roman" w:eastAsia="Times New Roman" w:hAnsi="Times New Roman"/>
          <w:i w:val="1"/>
          <w:sz w:val="24"/>
          <w:szCs w:val="24"/>
          <w:rtl w:val="0"/>
        </w:rPr>
        <w:t xml:space="preserve">onrechtmatige daad</w:t>
      </w:r>
      <w:r w:rsidDel="00000000" w:rsidR="00000000" w:rsidRPr="00000000">
        <w:rPr>
          <w:rFonts w:ascii="Times New Roman" w:cs="Times New Roman" w:eastAsia="Times New Roman" w:hAnsi="Times New Roman"/>
          <w:sz w:val="24"/>
          <w:szCs w:val="24"/>
          <w:rtl w:val="0"/>
        </w:rPr>
        <w:t xml:space="preserve">) sebagaimana diatur dalam Pasal 1365 Kitab Undang-Undang Hukum Perdata (KUH Perdata).</w:t>
      </w:r>
    </w:p>
    <w:p w:rsidR="00000000" w:rsidDel="00000000" w:rsidP="00000000" w:rsidRDefault="00000000" w:rsidRPr="00000000" w14:paraId="00000052">
      <w:pPr>
        <w:spacing w:after="0" w:before="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Metode normatif ini bertujuan untuk mengkaji secara sistematis bagaimana sistem hukum di Indonesia dan dalam kerangka hukum komparatif mengatur tanggung jawab hukum apabila terjadi kegagalan sistem dalam kendaraan otonom yang menimbulkan kerugian. Penelitian ini akan menelaah konsep tanggung jawab berdasarkan perbuatan melawan hukum, posisi hukum para pihak yang terlibat seperti pemilik kendaraan, produsen, dan pengembang perangkat lunak, serta kebutuhan akan pembaruan regulasi guna menjawab tantangan perkembangan teknologi otonom dalam sistem hukum perdata.</w:t>
      </w:r>
    </w:p>
    <w:p w:rsidR="00000000" w:rsidDel="00000000" w:rsidP="00000000" w:rsidRDefault="00000000" w:rsidRPr="00000000" w14:paraId="00000053">
      <w:pPr>
        <w:pStyle w:val="Heading2"/>
        <w:spacing w:after="0" w:before="40" w:line="360" w:lineRule="auto"/>
        <w:rPr>
          <w:rFonts w:ascii="Times New Roman" w:cs="Times New Roman" w:eastAsia="Times New Roman" w:hAnsi="Times New Roman"/>
          <w:b w:val="1"/>
          <w:sz w:val="24"/>
          <w:szCs w:val="24"/>
        </w:rPr>
      </w:pPr>
      <w:bookmarkStart w:colFirst="0" w:colLast="0" w:name="_3pj7xgyinl50" w:id="14"/>
      <w:bookmarkEnd w:id="14"/>
      <w:r w:rsidDel="00000000" w:rsidR="00000000" w:rsidRPr="00000000">
        <w:rPr>
          <w:rtl w:val="0"/>
        </w:rPr>
      </w:r>
    </w:p>
    <w:p w:rsidR="00000000" w:rsidDel="00000000" w:rsidP="00000000" w:rsidRDefault="00000000" w:rsidRPr="00000000" w14:paraId="00000054">
      <w:pPr>
        <w:pStyle w:val="Heading2"/>
        <w:spacing w:after="0" w:before="40" w:line="360" w:lineRule="auto"/>
        <w:rPr>
          <w:rFonts w:ascii="Times New Roman" w:cs="Times New Roman" w:eastAsia="Times New Roman" w:hAnsi="Times New Roman"/>
          <w:b w:val="1"/>
          <w:sz w:val="24"/>
          <w:szCs w:val="24"/>
        </w:rPr>
      </w:pPr>
      <w:bookmarkStart w:colFirst="0" w:colLast="0" w:name="_ofsegdtfgohm" w:id="15"/>
      <w:bookmarkEnd w:id="15"/>
      <w:r w:rsidDel="00000000" w:rsidR="00000000" w:rsidRPr="00000000">
        <w:rPr>
          <w:rFonts w:ascii="Times New Roman" w:cs="Times New Roman" w:eastAsia="Times New Roman" w:hAnsi="Times New Roman"/>
          <w:b w:val="1"/>
          <w:sz w:val="24"/>
          <w:szCs w:val="24"/>
          <w:rtl w:val="0"/>
        </w:rPr>
        <w:t xml:space="preserve">3.1 Pendekatan Penelitian</w:t>
      </w:r>
    </w:p>
    <w:p w:rsidR="00000000" w:rsidDel="00000000" w:rsidP="00000000" w:rsidRDefault="00000000" w:rsidRPr="00000000" w14:paraId="00000055">
      <w:pPr>
        <w:pStyle w:val="Heading2"/>
        <w:spacing w:after="0" w:before="40" w:line="360" w:lineRule="auto"/>
        <w:ind w:firstLine="720"/>
        <w:jc w:val="both"/>
        <w:rPr>
          <w:rFonts w:ascii="Times New Roman" w:cs="Times New Roman" w:eastAsia="Times New Roman" w:hAnsi="Times New Roman"/>
          <w:sz w:val="24"/>
          <w:szCs w:val="24"/>
        </w:rPr>
      </w:pPr>
      <w:bookmarkStart w:colFirst="0" w:colLast="0" w:name="_nl3e92t0go3t" w:id="16"/>
      <w:bookmarkEnd w:id="16"/>
      <w:r w:rsidDel="00000000" w:rsidR="00000000" w:rsidRPr="00000000">
        <w:rPr>
          <w:rFonts w:ascii="Times New Roman" w:cs="Times New Roman" w:eastAsia="Times New Roman" w:hAnsi="Times New Roman"/>
          <w:sz w:val="24"/>
          <w:szCs w:val="24"/>
          <w:rtl w:val="0"/>
        </w:rPr>
        <w:t xml:space="preserve">Metodologi dalam penelitian hukum normatif memerlukan pendekatan yang memberikan perspektif dan kerangka berpikir bagi peneliti untuk melakukan analisis. Penelitian ini bertujuan untuk mendapatkan solusi terhadap isu hukum yang menjadi fokus kajian. Oleh karena itu, metode penelitian digunakan untuk mengumpulkan data dari berbagai elemen yang terkait dengan aspek masalah hukum yang dibahas.</w:t>
      </w:r>
    </w:p>
    <w:p w:rsidR="00000000" w:rsidDel="00000000" w:rsidP="00000000" w:rsidRDefault="00000000" w:rsidRPr="00000000" w14:paraId="00000056">
      <w:pPr>
        <w:widowControl w:val="0"/>
        <w:numPr>
          <w:ilvl w:val="0"/>
          <w:numId w:val="3"/>
        </w:numPr>
        <w:tabs>
          <w:tab w:val="left" w:leader="none" w:pos="284"/>
          <w:tab w:val="left" w:leader="none" w:pos="1080"/>
        </w:tabs>
        <w:spacing w:line="360" w:lineRule="auto"/>
        <w:ind w:left="720" w:hanging="360"/>
        <w:jc w:val="both"/>
        <w:rPr/>
      </w:pPr>
      <w:r w:rsidDel="00000000" w:rsidR="00000000" w:rsidRPr="00000000">
        <w:rPr>
          <w:rFonts w:ascii="Times New Roman" w:cs="Times New Roman" w:eastAsia="Times New Roman" w:hAnsi="Times New Roman"/>
          <w:sz w:val="24"/>
          <w:szCs w:val="24"/>
          <w:rtl w:val="0"/>
        </w:rPr>
        <w:t xml:space="preserve">Pendekatan Perundang-undangan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Statute Approach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7">
      <w:pPr>
        <w:widowControl w:val="0"/>
        <w:numPr>
          <w:ilvl w:val="0"/>
          <w:numId w:val="3"/>
        </w:numPr>
        <w:tabs>
          <w:tab w:val="left" w:leader="none" w:pos="284"/>
          <w:tab w:val="left" w:leader="none" w:pos="1080"/>
        </w:tabs>
        <w:spacing w:line="360" w:lineRule="auto"/>
        <w:ind w:left="720" w:hanging="360"/>
        <w:jc w:val="both"/>
        <w:rPr>
          <w:sz w:val="26"/>
          <w:szCs w:val="26"/>
        </w:rPr>
      </w:pPr>
      <w:r w:rsidDel="00000000" w:rsidR="00000000" w:rsidRPr="00000000">
        <w:rPr>
          <w:rFonts w:ascii="Times New Roman" w:cs="Times New Roman" w:eastAsia="Times New Roman" w:hAnsi="Times New Roman"/>
          <w:sz w:val="24"/>
          <w:szCs w:val="24"/>
          <w:rtl w:val="0"/>
        </w:rPr>
        <w:t xml:space="preserve">Pendekatan Konseptual (</w:t>
      </w:r>
      <w:r w:rsidDel="00000000" w:rsidR="00000000" w:rsidRPr="00000000">
        <w:rPr>
          <w:rFonts w:ascii="Times New Roman" w:cs="Times New Roman" w:eastAsia="Times New Roman" w:hAnsi="Times New Roman"/>
          <w:i w:val="1"/>
          <w:sz w:val="24"/>
          <w:szCs w:val="24"/>
          <w:rtl w:val="0"/>
        </w:rPr>
        <w:t xml:space="preserve">Conceptual Approach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8">
      <w:pPr>
        <w:widowControl w:val="0"/>
        <w:numPr>
          <w:ilvl w:val="0"/>
          <w:numId w:val="3"/>
        </w:numPr>
        <w:tabs>
          <w:tab w:val="left" w:leader="none" w:pos="284"/>
          <w:tab w:val="left" w:leader="none" w:pos="1080"/>
        </w:tabs>
        <w:spacing w:line="360" w:lineRule="auto"/>
        <w:ind w:left="720" w:hanging="360"/>
        <w:jc w:val="both"/>
        <w:rPr>
          <w:sz w:val="26"/>
          <w:szCs w:val="26"/>
        </w:rPr>
      </w:pPr>
      <w:r w:rsidDel="00000000" w:rsidR="00000000" w:rsidRPr="00000000">
        <w:rPr>
          <w:rFonts w:ascii="Times New Roman" w:cs="Times New Roman" w:eastAsia="Times New Roman" w:hAnsi="Times New Roman"/>
          <w:sz w:val="24"/>
          <w:szCs w:val="24"/>
          <w:rtl w:val="0"/>
        </w:rPr>
        <w:t xml:space="preserve">Pendekatan Komparatif (</w:t>
      </w:r>
      <w:r w:rsidDel="00000000" w:rsidR="00000000" w:rsidRPr="00000000">
        <w:rPr>
          <w:rFonts w:ascii="Times New Roman" w:cs="Times New Roman" w:eastAsia="Times New Roman" w:hAnsi="Times New Roman"/>
          <w:i w:val="1"/>
          <w:sz w:val="24"/>
          <w:szCs w:val="24"/>
          <w:rtl w:val="0"/>
        </w:rPr>
        <w:t xml:space="preserve">Comparative Approach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9">
      <w:pPr>
        <w:widowControl w:val="0"/>
        <w:numPr>
          <w:ilvl w:val="0"/>
          <w:numId w:val="3"/>
        </w:numPr>
        <w:tabs>
          <w:tab w:val="left" w:leader="none" w:pos="284"/>
          <w:tab w:val="left" w:leader="none" w:pos="1080"/>
        </w:tabs>
        <w:spacing w:line="360" w:lineRule="auto"/>
        <w:ind w:left="720" w:hanging="360"/>
        <w:jc w:val="both"/>
        <w:rPr>
          <w:sz w:val="26"/>
          <w:szCs w:val="26"/>
        </w:rPr>
      </w:pPr>
      <w:r w:rsidDel="00000000" w:rsidR="00000000" w:rsidRPr="00000000">
        <w:rPr>
          <w:rFonts w:ascii="Times New Roman" w:cs="Times New Roman" w:eastAsia="Times New Roman" w:hAnsi="Times New Roman"/>
          <w:sz w:val="24"/>
          <w:szCs w:val="24"/>
          <w:rtl w:val="0"/>
        </w:rPr>
        <w:t xml:space="preserve">Pendekatan Kasus (</w:t>
      </w:r>
      <w:r w:rsidDel="00000000" w:rsidR="00000000" w:rsidRPr="00000000">
        <w:rPr>
          <w:rFonts w:ascii="Times New Roman" w:cs="Times New Roman" w:eastAsia="Times New Roman" w:hAnsi="Times New Roman"/>
          <w:i w:val="1"/>
          <w:sz w:val="24"/>
          <w:szCs w:val="24"/>
          <w:rtl w:val="0"/>
        </w:rPr>
        <w:t xml:space="preserve">Case Approach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A">
      <w:pPr>
        <w:widowControl w:val="0"/>
        <w:tabs>
          <w:tab w:val="left" w:leader="none" w:pos="284"/>
          <w:tab w:val="left" w:leader="none" w:pos="1080"/>
        </w:tabs>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widowControl w:val="0"/>
        <w:tabs>
          <w:tab w:val="left" w:leader="none" w:pos="284"/>
          <w:tab w:val="left" w:leader="none" w:pos="1080"/>
        </w:tabs>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3.2 Bahan Hukum</w:t>
      </w:r>
    </w:p>
    <w:p w:rsidR="00000000" w:rsidDel="00000000" w:rsidP="00000000" w:rsidRDefault="00000000" w:rsidRPr="00000000" w14:paraId="0000005C">
      <w:pPr>
        <w:tabs>
          <w:tab w:val="left" w:leader="none" w:pos="720"/>
        </w:tabs>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Studi ini melihat dua jenis bahan hukum: bahan hukum primer dan bahan hukum sekunder.</w:t>
      </w:r>
    </w:p>
    <w:p w:rsidR="00000000" w:rsidDel="00000000" w:rsidP="00000000" w:rsidRDefault="00000000" w:rsidRPr="00000000" w14:paraId="0000005D">
      <w:pPr>
        <w:numPr>
          <w:ilvl w:val="0"/>
          <w:numId w:val="4"/>
        </w:numPr>
        <w:tabs>
          <w:tab w:val="left" w:leader="none" w:pos="630"/>
          <w:tab w:val="left" w:leader="none" w:pos="1350"/>
          <w:tab w:val="left" w:leader="none" w:pos="1530"/>
        </w:tabs>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Bahan Hukum Primer</w:t>
      </w:r>
    </w:p>
    <w:p w:rsidR="00000000" w:rsidDel="00000000" w:rsidP="00000000" w:rsidRDefault="00000000" w:rsidRPr="00000000" w14:paraId="0000005E">
      <w:pPr>
        <w:tabs>
          <w:tab w:val="left" w:leader="none" w:pos="630"/>
        </w:tabs>
        <w:spacing w:line="360" w:lineRule="auto"/>
        <w:ind w:left="708.661417322834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Bahan hukum primer dalam penelitian ini diambil dari peraturan dan perundang – undangan yang berlaku serta berkesinambungan dengan penelitian. Adapun bahan hukum primer yang digunakan dalam penelitian ini meliputi:</w:t>
      </w:r>
    </w:p>
    <w:p w:rsidR="00000000" w:rsidDel="00000000" w:rsidP="00000000" w:rsidRDefault="00000000" w:rsidRPr="00000000" w14:paraId="0000005F">
      <w:pPr>
        <w:numPr>
          <w:ilvl w:val="0"/>
          <w:numId w:val="8"/>
        </w:numPr>
        <w:spacing w:after="0" w:before="0" w:line="360" w:lineRule="auto"/>
        <w:ind w:left="1842.5196850393697" w:hanging="357.5196850393698"/>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Kitab Undang-undang Hukum Perdata (KUH Perdata);</w:t>
      </w:r>
    </w:p>
    <w:p w:rsidR="00000000" w:rsidDel="00000000" w:rsidP="00000000" w:rsidRDefault="00000000" w:rsidRPr="00000000" w14:paraId="00000060">
      <w:pPr>
        <w:numPr>
          <w:ilvl w:val="0"/>
          <w:numId w:val="8"/>
        </w:numPr>
        <w:spacing w:after="0" w:before="0" w:line="360" w:lineRule="auto"/>
        <w:ind w:left="1842.5196850393697" w:hanging="357.5196850393698"/>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Undang-Undang Nomor 22 Tahun 2009 tentang Lalu Lintas dan Angkutan Jalan;</w:t>
      </w:r>
    </w:p>
    <w:p w:rsidR="00000000" w:rsidDel="00000000" w:rsidP="00000000" w:rsidRDefault="00000000" w:rsidRPr="00000000" w14:paraId="00000061">
      <w:pPr>
        <w:numPr>
          <w:ilvl w:val="0"/>
          <w:numId w:val="8"/>
        </w:numPr>
        <w:spacing w:after="0" w:before="0" w:line="360" w:lineRule="auto"/>
        <w:ind w:left="1842.5196850393697" w:hanging="357.5196850393698"/>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Undang-Undang Nomor 11 Tahun 2008 jo. UU No. 19 Tahun 2016 tentang ITE;</w:t>
      </w:r>
    </w:p>
    <w:p w:rsidR="00000000" w:rsidDel="00000000" w:rsidP="00000000" w:rsidRDefault="00000000" w:rsidRPr="00000000" w14:paraId="00000062">
      <w:pPr>
        <w:numPr>
          <w:ilvl w:val="0"/>
          <w:numId w:val="8"/>
        </w:numPr>
        <w:spacing w:after="0" w:before="0" w:line="360" w:lineRule="auto"/>
        <w:ind w:left="1842.5196850393697" w:hanging="357.5196850393698"/>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Peraturan pemerintah dan peraturan teknis lainnya yang relevan;</w:t>
      </w:r>
    </w:p>
    <w:p w:rsidR="00000000" w:rsidDel="00000000" w:rsidP="00000000" w:rsidRDefault="00000000" w:rsidRPr="00000000" w14:paraId="00000063">
      <w:pPr>
        <w:numPr>
          <w:ilvl w:val="0"/>
          <w:numId w:val="8"/>
        </w:numPr>
        <w:spacing w:after="0" w:before="0" w:line="360" w:lineRule="auto"/>
        <w:ind w:left="1842.5196850393697" w:hanging="357.5196850393698"/>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Putusan pengadilan (jika ada) yang berkaitan dengan tanggung jawab kecelakaan kendaraan.</w:t>
      </w:r>
      <w:r w:rsidDel="00000000" w:rsidR="00000000" w:rsidRPr="00000000">
        <w:rPr>
          <w:rtl w:val="0"/>
        </w:rPr>
      </w:r>
    </w:p>
    <w:p w:rsidR="00000000" w:rsidDel="00000000" w:rsidP="00000000" w:rsidRDefault="00000000" w:rsidRPr="00000000" w14:paraId="00000064">
      <w:pPr>
        <w:numPr>
          <w:ilvl w:val="0"/>
          <w:numId w:val="4"/>
        </w:numPr>
        <w:tabs>
          <w:tab w:val="left" w:leader="none" w:pos="630"/>
          <w:tab w:val="left" w:leader="none" w:pos="1350"/>
          <w:tab w:val="left" w:leader="none" w:pos="1530"/>
        </w:tabs>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Bahan Hukum Sekunder</w:t>
      </w:r>
    </w:p>
    <w:p w:rsidR="00000000" w:rsidDel="00000000" w:rsidP="00000000" w:rsidRDefault="00000000" w:rsidRPr="00000000" w14:paraId="00000065">
      <w:pPr>
        <w:spacing w:line="360" w:lineRule="auto"/>
        <w:ind w:left="708.6614173228347" w:firstLine="6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penelitian ini membutuhkan pelengkap dari bahan hukum primer, yakni bahan hukum sekunder. bahan hukum sekunder dapat diperoleh dari hasil penelitian, buku, jurnal, dan artikel hukum yang berkaitan. Bahan hukum sekunder tersebut yakni:</w:t>
      </w:r>
    </w:p>
    <w:p w:rsidR="00000000" w:rsidDel="00000000" w:rsidP="00000000" w:rsidRDefault="00000000" w:rsidRPr="00000000" w14:paraId="00000066">
      <w:pPr>
        <w:numPr>
          <w:ilvl w:val="0"/>
          <w:numId w:val="12"/>
        </w:numPr>
        <w:spacing w:line="360" w:lineRule="auto"/>
        <w:ind w:left="180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Buku-buku yang mengandung prinsip-prinsip dasar (asas hukum) ;</w:t>
      </w:r>
    </w:p>
    <w:p w:rsidR="00000000" w:rsidDel="00000000" w:rsidP="00000000" w:rsidRDefault="00000000" w:rsidRPr="00000000" w14:paraId="00000067">
      <w:pPr>
        <w:numPr>
          <w:ilvl w:val="0"/>
          <w:numId w:val="12"/>
        </w:numPr>
        <w:spacing w:line="360" w:lineRule="auto"/>
        <w:ind w:left="180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Penelitian-penelitian dan jurnal hukum yang serupa dengan penelitian ini;</w:t>
      </w:r>
    </w:p>
    <w:p w:rsidR="00000000" w:rsidDel="00000000" w:rsidP="00000000" w:rsidRDefault="00000000" w:rsidRPr="00000000" w14:paraId="00000068">
      <w:pPr>
        <w:numPr>
          <w:ilvl w:val="0"/>
          <w:numId w:val="12"/>
        </w:numPr>
        <w:spacing w:line="360" w:lineRule="auto"/>
        <w:ind w:left="180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Beberapa argumentasi ahli (</w:t>
      </w:r>
      <w:r w:rsidDel="00000000" w:rsidR="00000000" w:rsidRPr="00000000">
        <w:rPr>
          <w:rFonts w:ascii="Times New Roman" w:cs="Times New Roman" w:eastAsia="Times New Roman" w:hAnsi="Times New Roman"/>
          <w:i w:val="1"/>
          <w:sz w:val="24"/>
          <w:szCs w:val="24"/>
          <w:rtl w:val="0"/>
        </w:rPr>
        <w:t xml:space="preserve">doctrine</w:t>
      </w:r>
      <w:r w:rsidDel="00000000" w:rsidR="00000000" w:rsidRPr="00000000">
        <w:rPr>
          <w:rFonts w:ascii="Times New Roman" w:cs="Times New Roman" w:eastAsia="Times New Roman" w:hAnsi="Times New Roman"/>
          <w:sz w:val="24"/>
          <w:szCs w:val="24"/>
          <w:rtl w:val="0"/>
        </w:rPr>
        <w:t xml:space="preserve">) hukum yang mempunyai kualifikasi tinggi yang berkaitan dengan penelitian dan dapat membantu penelitian ini;</w:t>
      </w:r>
    </w:p>
    <w:p w:rsidR="00000000" w:rsidDel="00000000" w:rsidP="00000000" w:rsidRDefault="00000000" w:rsidRPr="00000000" w14:paraId="00000069">
      <w:pPr>
        <w:numPr>
          <w:ilvl w:val="0"/>
          <w:numId w:val="12"/>
        </w:numPr>
        <w:spacing w:line="360" w:lineRule="auto"/>
        <w:ind w:left="180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mengenai konsep-konsep perbuatan melawan hukum.</w:t>
      </w:r>
    </w:p>
    <w:p w:rsidR="00000000" w:rsidDel="00000000" w:rsidP="00000000" w:rsidRDefault="00000000" w:rsidRPr="00000000" w14:paraId="0000006A">
      <w:pPr>
        <w:tabs>
          <w:tab w:val="left" w:leader="none" w:pos="720"/>
        </w:tabs>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tabs>
          <w:tab w:val="left" w:leader="none" w:pos="720"/>
        </w:tabs>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3.3 Teknik Pengumpulan Bahan Hukum</w:t>
      </w:r>
    </w:p>
    <w:p w:rsidR="00000000" w:rsidDel="00000000" w:rsidP="00000000" w:rsidRDefault="00000000" w:rsidRPr="00000000" w14:paraId="0000006C">
      <w:pPr>
        <w:widowControl w:val="0"/>
        <w:tabs>
          <w:tab w:val="left" w:leader="none" w:pos="284"/>
          <w:tab w:val="left" w:leader="none" w:pos="705"/>
        </w:tabs>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Untuk mengumpulkan bahan hukum dalam penelitian ini, metode yang digunakan adalah studi kepustakaan. Proses pengumpulan bahan hukum melibatkan beberapa langkah, yaitu:</w:t>
      </w:r>
    </w:p>
    <w:p w:rsidR="00000000" w:rsidDel="00000000" w:rsidP="00000000" w:rsidRDefault="00000000" w:rsidRPr="00000000" w14:paraId="0000006D">
      <w:pPr>
        <w:widowControl w:val="0"/>
        <w:numPr>
          <w:ilvl w:val="0"/>
          <w:numId w:val="11"/>
        </w:numPr>
        <w:tabs>
          <w:tab w:val="left" w:leader="none" w:pos="284"/>
        </w:tabs>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Mencari sumber bahan hukum, baik melalui katalog perpustakaan maupun langsung dari sumbernya;</w:t>
      </w:r>
    </w:p>
    <w:p w:rsidR="00000000" w:rsidDel="00000000" w:rsidP="00000000" w:rsidRDefault="00000000" w:rsidRPr="00000000" w14:paraId="0000006E">
      <w:pPr>
        <w:widowControl w:val="0"/>
        <w:numPr>
          <w:ilvl w:val="0"/>
          <w:numId w:val="11"/>
        </w:numPr>
        <w:tabs>
          <w:tab w:val="left" w:leader="none" w:pos="284"/>
        </w:tabs>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Menyusun daftar yang berisi produk hukum terkait;</w:t>
      </w:r>
    </w:p>
    <w:p w:rsidR="00000000" w:rsidDel="00000000" w:rsidP="00000000" w:rsidRDefault="00000000" w:rsidRPr="00000000" w14:paraId="0000006F">
      <w:pPr>
        <w:widowControl w:val="0"/>
        <w:numPr>
          <w:ilvl w:val="0"/>
          <w:numId w:val="11"/>
        </w:numPr>
        <w:tabs>
          <w:tab w:val="left" w:leader="none" w:pos="284"/>
        </w:tabs>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Mengutip dan membuat catatan yang relevan;</w:t>
      </w:r>
    </w:p>
    <w:p w:rsidR="00000000" w:rsidDel="00000000" w:rsidP="00000000" w:rsidRDefault="00000000" w:rsidRPr="00000000" w14:paraId="00000070">
      <w:pPr>
        <w:widowControl w:val="0"/>
        <w:numPr>
          <w:ilvl w:val="0"/>
          <w:numId w:val="11"/>
        </w:numPr>
        <w:tabs>
          <w:tab w:val="left" w:leader="none" w:pos="284"/>
        </w:tabs>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Melakukan analisis bahan hukum berdasarkan fokus masalah dan tujuan penelitian </w:t>
      </w:r>
    </w:p>
    <w:p w:rsidR="00000000" w:rsidDel="00000000" w:rsidP="00000000" w:rsidRDefault="00000000" w:rsidRPr="00000000" w14:paraId="00000071">
      <w:pPr>
        <w:widowControl w:val="0"/>
        <w:tabs>
          <w:tab w:val="left" w:leader="none" w:pos="285"/>
          <w:tab w:val="left" w:leader="none" w:pos="705"/>
          <w:tab w:val="left" w:leader="none" w:pos="1080"/>
        </w:tabs>
        <w:spacing w:after="0" w:before="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ab/>
        <w:tab/>
        <w:t xml:space="preserve">Penelitian ini menitikberatkan pada pengumpulan, identifikasi, dan analisis bahan hukum terkait kekayaan intelektual terlebih khususnya mengenai hak cipta (Jonandi Effendi 2018)</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2">
      <w:pPr>
        <w:pStyle w:val="Heading2"/>
        <w:spacing w:after="0" w:before="0" w:line="360" w:lineRule="auto"/>
        <w:ind w:left="0" w:firstLine="0"/>
        <w:rPr>
          <w:rFonts w:ascii="Times New Roman" w:cs="Times New Roman" w:eastAsia="Times New Roman" w:hAnsi="Times New Roman"/>
          <w:b w:val="1"/>
          <w:sz w:val="24"/>
          <w:szCs w:val="24"/>
        </w:rPr>
      </w:pPr>
      <w:bookmarkStart w:colFirst="0" w:colLast="0" w:name="_gs2dr3kb3u64" w:id="17"/>
      <w:bookmarkEnd w:id="17"/>
      <w:r w:rsidDel="00000000" w:rsidR="00000000" w:rsidRPr="00000000">
        <w:rPr>
          <w:rtl w:val="0"/>
        </w:rPr>
      </w:r>
    </w:p>
    <w:p w:rsidR="00000000" w:rsidDel="00000000" w:rsidP="00000000" w:rsidRDefault="00000000" w:rsidRPr="00000000" w14:paraId="00000073">
      <w:pPr>
        <w:pStyle w:val="Heading2"/>
        <w:spacing w:after="0" w:before="0" w:line="360" w:lineRule="auto"/>
        <w:ind w:left="0" w:firstLine="0"/>
        <w:rPr>
          <w:rFonts w:ascii="Times New Roman" w:cs="Times New Roman" w:eastAsia="Times New Roman" w:hAnsi="Times New Roman"/>
          <w:b w:val="1"/>
          <w:sz w:val="24"/>
          <w:szCs w:val="24"/>
        </w:rPr>
      </w:pPr>
      <w:bookmarkStart w:colFirst="0" w:colLast="0" w:name="_su85pbpbyvnm" w:id="18"/>
      <w:bookmarkEnd w:id="18"/>
      <w:r w:rsidDel="00000000" w:rsidR="00000000" w:rsidRPr="00000000">
        <w:rPr>
          <w:rFonts w:ascii="Times New Roman" w:cs="Times New Roman" w:eastAsia="Times New Roman" w:hAnsi="Times New Roman"/>
          <w:b w:val="1"/>
          <w:sz w:val="24"/>
          <w:szCs w:val="24"/>
          <w:rtl w:val="0"/>
        </w:rPr>
        <w:t xml:space="preserve">3.4   Teknik Pengelolaan Bahan Hukum</w:t>
      </w:r>
    </w:p>
    <w:p w:rsidR="00000000" w:rsidDel="00000000" w:rsidP="00000000" w:rsidRDefault="00000000" w:rsidRPr="00000000" w14:paraId="00000074">
      <w:pPr>
        <w:widowControl w:val="0"/>
        <w:tabs>
          <w:tab w:val="left" w:leader="none" w:pos="284"/>
          <w:tab w:val="left" w:leader="none" w:pos="630"/>
          <w:tab w:val="left" w:leader="none" w:pos="705"/>
        </w:tabs>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Teknik pengolahan bahan hukum yang telah dikumpulkan dilakukan melalui beberapa tahap, yaitu inventarisasi, identifikasi, klasifikasi, dan sistematisasi. Tahapan sistematis ini sangat penting untuk mencegah terjadinya kontradiksi antara satu bahan hukum dengan bahan hukum lainnya. Setelah bahan hukum terkumpul dan dikelompokkan, bahan-bahan tersebut ditelaah dengan pendekatan konseptual, pendekatan perundang-undangan, serta pendekatan lain yang relevan. Proses ini bertujuan untuk mendapatkan gambaran atau solusi yang dapat menjawab masalah yang menjadi fokus penelitian. </w:t>
      </w:r>
    </w:p>
    <w:p w:rsidR="00000000" w:rsidDel="00000000" w:rsidP="00000000" w:rsidRDefault="00000000" w:rsidRPr="00000000" w14:paraId="00000075">
      <w:pPr>
        <w:widowControl w:val="0"/>
        <w:tabs>
          <w:tab w:val="left" w:leader="none" w:pos="284"/>
          <w:tab w:val="left" w:leader="none" w:pos="630"/>
          <w:tab w:val="left" w:leader="none" w:pos="705"/>
        </w:tabs>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Dalam penelitian hukum normatif, bahan hukum diolah dengan cara menyusun dan menyeleksi bahan-bahan yang ada. Proses sistematisasi dilakukan dengan mengklasifikasikan bahan hukum sesuai dengan kategori yang telah ditentukan, kemudian menyusun bahan-bahan tersebut secara logis dan sistematis. Hal ini dilakukan untuk memastikan adanya hubungan yang jelas antara satu bahan hukum dengan bahan hukum lainnya, sehingga dapat memberikan gambaran umum yang lebih utuh dan akurat terhadap jawaban yang dihasilkan dari penelitian.</w:t>
      </w:r>
    </w:p>
    <w:p w:rsidR="00000000" w:rsidDel="00000000" w:rsidP="00000000" w:rsidRDefault="00000000" w:rsidRPr="00000000" w14:paraId="00000076">
      <w:pPr>
        <w:widowControl w:val="0"/>
        <w:tabs>
          <w:tab w:val="left" w:leader="none" w:pos="284"/>
          <w:tab w:val="left" w:leader="none" w:pos="630"/>
          <w:tab w:val="left" w:leader="none" w:pos="705"/>
        </w:tabs>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pStyle w:val="Heading2"/>
        <w:spacing w:after="0" w:before="40" w:line="360" w:lineRule="auto"/>
        <w:rPr>
          <w:rFonts w:ascii="Times New Roman" w:cs="Times New Roman" w:eastAsia="Times New Roman" w:hAnsi="Times New Roman"/>
          <w:sz w:val="24"/>
          <w:szCs w:val="24"/>
        </w:rPr>
      </w:pPr>
      <w:bookmarkStart w:colFirst="0" w:colLast="0" w:name="_2bn6wsx" w:id="19"/>
      <w:bookmarkEnd w:id="19"/>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b w:val="1"/>
          <w:sz w:val="24"/>
          <w:szCs w:val="24"/>
          <w:rtl w:val="0"/>
        </w:rPr>
        <w:t xml:space="preserve">.5  Teknik Analisis Bahan Hukum</w:t>
      </w:r>
      <w:r w:rsidDel="00000000" w:rsidR="00000000" w:rsidRPr="00000000">
        <w:rPr>
          <w:rtl w:val="0"/>
        </w:rPr>
      </w:r>
    </w:p>
    <w:p w:rsidR="00000000" w:rsidDel="00000000" w:rsidP="00000000" w:rsidRDefault="00000000" w:rsidRPr="00000000" w14:paraId="00000078">
      <w:pPr>
        <w:widowControl w:val="0"/>
        <w:tabs>
          <w:tab w:val="left" w:leader="none" w:pos="285"/>
          <w:tab w:val="left" w:leader="none" w:pos="630"/>
          <w:tab w:val="left" w:leader="none" w:pos="1080"/>
        </w:tabs>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ab/>
      </w:r>
      <w:r w:rsidDel="00000000" w:rsidR="00000000" w:rsidRPr="00000000">
        <w:rPr>
          <w:rFonts w:ascii="Times New Roman" w:cs="Times New Roman" w:eastAsia="Times New Roman" w:hAnsi="Times New Roman"/>
          <w:sz w:val="24"/>
          <w:szCs w:val="24"/>
          <w:rtl w:val="0"/>
        </w:rPr>
        <w:t xml:space="preserve">Analisis yang digunakan dalam penelitian ini bersifat kualitatif, dengan metode interpretasi untuk menafsirkan bahan hukum yang sudah diolah. Melalui metode interpretasi ini, peneliti bertujuan untuk memahami apakah ada kekosongan norma hukum, konflik antar norma, atau ketidakjelasan norma dalam bahan hukum yang dianalisis, khususnya pada bahan hukum primer. Metode interpretasi hukum yang digunakan dalam penelitian ini, diantaranya adalah:</w:t>
      </w:r>
      <w:r w:rsidDel="00000000" w:rsidR="00000000" w:rsidRPr="00000000">
        <w:rPr>
          <w:rtl w:val="0"/>
        </w:rPr>
      </w:r>
    </w:p>
    <w:p w:rsidR="00000000" w:rsidDel="00000000" w:rsidP="00000000" w:rsidRDefault="00000000" w:rsidRPr="00000000" w14:paraId="00000079">
      <w:pPr>
        <w:widowControl w:val="0"/>
        <w:numPr>
          <w:ilvl w:val="0"/>
          <w:numId w:val="1"/>
        </w:numPr>
        <w:tabs>
          <w:tab w:val="left" w:leader="none" w:pos="285"/>
          <w:tab w:val="left" w:leader="none" w:pos="630"/>
          <w:tab w:val="left" w:leader="none" w:pos="1080"/>
        </w:tabs>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Penafsiran ekstensif, yaitu memperluas makna atau pengertian dari istilah yang ada dalam undang-undang. Selain itu, ada juga penafsiran historis, yang melibatkan penelusuran sejarah pembuatan suatu undang-undang. </w:t>
      </w:r>
    </w:p>
    <w:p w:rsidR="00000000" w:rsidDel="00000000" w:rsidP="00000000" w:rsidRDefault="00000000" w:rsidRPr="00000000" w14:paraId="0000007A">
      <w:pPr>
        <w:widowControl w:val="0"/>
        <w:numPr>
          <w:ilvl w:val="0"/>
          <w:numId w:val="1"/>
        </w:numPr>
        <w:tabs>
          <w:tab w:val="left" w:leader="none" w:pos="285"/>
          <w:tab w:val="left" w:leader="none" w:pos="630"/>
          <w:tab w:val="left" w:leader="none" w:pos="1080"/>
        </w:tabs>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Penafsiran historis, bertujuan untuk menemukan makna istilah yang digunakan dalam undang-undang tersebut, atau setidaknya memahami maksud pembuat undang-undang melalui dokumen-dokumen terkait. Interpretasi historis memungkinkan kita melacak makna ketentuan undang-undang berdasarkan sejarah lahirnya ketentuan tersebut, dengan merujuk pada naskah akademik atau risalah pembahasan hingga terbentuknya peraturan perundang-undangan.</w:t>
      </w:r>
    </w:p>
    <w:p w:rsidR="00000000" w:rsidDel="00000000" w:rsidP="00000000" w:rsidRDefault="00000000" w:rsidRPr="00000000" w14:paraId="0000007B">
      <w:pPr>
        <w:widowControl w:val="0"/>
        <w:numPr>
          <w:ilvl w:val="0"/>
          <w:numId w:val="1"/>
        </w:numPr>
        <w:tabs>
          <w:tab w:val="left" w:leader="none" w:pos="285"/>
          <w:tab w:val="left" w:leader="none" w:pos="630"/>
          <w:tab w:val="left" w:leader="none" w:pos="1080"/>
        </w:tabs>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Penafsiran gramatikal, untuk memahami makna eksplisit teks peraturan.</w:t>
      </w:r>
    </w:p>
    <w:p w:rsidR="00000000" w:rsidDel="00000000" w:rsidP="00000000" w:rsidRDefault="00000000" w:rsidRPr="00000000" w14:paraId="0000007C">
      <w:pPr>
        <w:widowControl w:val="0"/>
        <w:numPr>
          <w:ilvl w:val="0"/>
          <w:numId w:val="1"/>
        </w:numPr>
        <w:tabs>
          <w:tab w:val="left" w:leader="none" w:pos="285"/>
          <w:tab w:val="left" w:leader="none" w:pos="630"/>
          <w:tab w:val="left" w:leader="none" w:pos="1080"/>
        </w:tabs>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Penafsiran teleologis, untuk menangkap tujuan sosial dari peraturan hukum.</w:t>
      </w:r>
    </w:p>
    <w:p w:rsidR="00000000" w:rsidDel="00000000" w:rsidP="00000000" w:rsidRDefault="00000000" w:rsidRPr="00000000" w14:paraId="0000007D">
      <w:pPr>
        <w:widowControl w:val="0"/>
        <w:tabs>
          <w:tab w:val="left" w:leader="none" w:pos="284"/>
          <w:tab w:val="left" w:leader="none" w:pos="630"/>
          <w:tab w:val="left" w:leader="none" w:pos="705"/>
        </w:tabs>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Trebuchet M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Anderson, J.M. et al., </w:t>
      </w:r>
      <w:r w:rsidDel="00000000" w:rsidR="00000000" w:rsidRPr="00000000">
        <w:rPr>
          <w:i w:val="1"/>
          <w:sz w:val="20"/>
          <w:szCs w:val="20"/>
          <w:rtl w:val="0"/>
        </w:rPr>
        <w:t xml:space="preserve">Autonomous Vehicle Technology: A Guide for Policymakers</w:t>
      </w:r>
      <w:r w:rsidDel="00000000" w:rsidR="00000000" w:rsidRPr="00000000">
        <w:rPr>
          <w:sz w:val="20"/>
          <w:szCs w:val="20"/>
          <w:rtl w:val="0"/>
        </w:rPr>
        <w:t xml:space="preserve">, RAND Corporation, 2016, hlm. 23.</w:t>
      </w:r>
    </w:p>
  </w:footnote>
  <w:footnote w:id="1">
    <w:p w:rsidR="00000000" w:rsidDel="00000000" w:rsidP="00000000" w:rsidRDefault="00000000" w:rsidRPr="00000000" w14:paraId="000000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Bryant Walker Smith, </w:t>
      </w:r>
      <w:r w:rsidDel="00000000" w:rsidR="00000000" w:rsidRPr="00000000">
        <w:rPr>
          <w:i w:val="1"/>
          <w:sz w:val="20"/>
          <w:szCs w:val="20"/>
          <w:rtl w:val="0"/>
        </w:rPr>
        <w:t xml:space="preserve">Automated Driving and Product Liability</w:t>
      </w:r>
      <w:r w:rsidDel="00000000" w:rsidR="00000000" w:rsidRPr="00000000">
        <w:rPr>
          <w:sz w:val="20"/>
          <w:szCs w:val="20"/>
          <w:rtl w:val="0"/>
        </w:rPr>
        <w:t xml:space="preserve">, Michigan State Review, Vol. 2017, No. 1, 2020, hlm. 1-40.</w:t>
      </w:r>
    </w:p>
  </w:footnote>
  <w:footnote w:id="2">
    <w:p w:rsidR="00000000" w:rsidDel="00000000" w:rsidP="00000000" w:rsidRDefault="00000000" w:rsidRPr="00000000" w14:paraId="000000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Pasal 1365 Kitab Undang-Undang Hukum Perdata (Burgerlijk Wetboek).</w:t>
      </w:r>
    </w:p>
  </w:footnote>
  <w:footnote w:id="3">
    <w:p w:rsidR="00000000" w:rsidDel="00000000" w:rsidP="00000000" w:rsidRDefault="00000000" w:rsidRPr="00000000" w14:paraId="000000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Jack Boeglin, The Costs of Self-Driving Cars: reconciling Freedom and Privacy with Tort Liability in Autonomous Vehicle Regulation, Yale Journal of Law &amp; Technology, Vol. 17, 2025, hlm. 171-203.</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lvl w:ilvl="0">
      <w:start w:val="1"/>
      <w:numFmt w:val="lowerLetter"/>
      <w:lvlText w:val="%1."/>
      <w:lvlJc w:val="left"/>
      <w:pPr>
        <w:ind w:left="720" w:hanging="360"/>
      </w:pPr>
      <w:rPr>
        <w:rFonts w:ascii="Times New Roman" w:cs="Times New Roman" w:eastAsia="Times New Roman" w:hAnsi="Times New Roman"/>
        <w:b w:val="0"/>
        <w:sz w:val="24"/>
        <w:szCs w:val="24"/>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decimal"/>
      <w:lvlText w:val="%1."/>
      <w:lvlJc w:val="left"/>
      <w:pPr>
        <w:ind w:left="1260" w:hanging="360"/>
      </w:pPr>
      <w:rPr>
        <w:u w:val="none"/>
      </w:rPr>
    </w:lvl>
    <w:lvl w:ilvl="1">
      <w:start w:val="1"/>
      <w:numFmt w:val="decimal"/>
      <w:lvlText w:val="%1.%2"/>
      <w:lvlJc w:val="left"/>
      <w:pPr>
        <w:ind w:left="1290" w:hanging="390"/>
      </w:pPr>
      <w:rPr>
        <w:u w:val="none"/>
      </w:rPr>
    </w:lvl>
    <w:lvl w:ilvl="2">
      <w:start w:val="1"/>
      <w:numFmt w:val="decimal"/>
      <w:lvlText w:val="%1.%2.%3"/>
      <w:lvlJc w:val="left"/>
      <w:pPr>
        <w:ind w:left="1620" w:hanging="720"/>
      </w:pPr>
      <w:rPr>
        <w:u w:val="none"/>
      </w:rPr>
    </w:lvl>
    <w:lvl w:ilvl="3">
      <w:start w:val="1"/>
      <w:numFmt w:val="decimal"/>
      <w:lvlText w:val="%1.%2.%3.%4"/>
      <w:lvlJc w:val="left"/>
      <w:pPr>
        <w:ind w:left="1620" w:hanging="720"/>
      </w:pPr>
      <w:rPr>
        <w:u w:val="none"/>
      </w:rPr>
    </w:lvl>
    <w:lvl w:ilvl="4">
      <w:start w:val="1"/>
      <w:numFmt w:val="decimal"/>
      <w:lvlText w:val="%1.%2.%3.%4.%5"/>
      <w:lvlJc w:val="left"/>
      <w:pPr>
        <w:ind w:left="1980" w:hanging="1080"/>
      </w:pPr>
      <w:rPr>
        <w:u w:val="none"/>
      </w:rPr>
    </w:lvl>
    <w:lvl w:ilvl="5">
      <w:start w:val="1"/>
      <w:numFmt w:val="decimal"/>
      <w:lvlText w:val="%1.%2.%3.%4.%5.%6"/>
      <w:lvlJc w:val="left"/>
      <w:pPr>
        <w:ind w:left="1980" w:hanging="1080"/>
      </w:pPr>
      <w:rPr>
        <w:u w:val="none"/>
      </w:rPr>
    </w:lvl>
    <w:lvl w:ilvl="6">
      <w:start w:val="1"/>
      <w:numFmt w:val="decimal"/>
      <w:lvlText w:val="%1.%2.%3.%4.%5.%6.%7"/>
      <w:lvlJc w:val="left"/>
      <w:pPr>
        <w:ind w:left="2340" w:hanging="1440"/>
      </w:pPr>
      <w:rPr>
        <w:u w:val="none"/>
      </w:rPr>
    </w:lvl>
    <w:lvl w:ilvl="7">
      <w:start w:val="1"/>
      <w:numFmt w:val="decimal"/>
      <w:lvlText w:val="%1.%2.%3.%4.%5.%6.%7.%8"/>
      <w:lvlJc w:val="left"/>
      <w:pPr>
        <w:ind w:left="2340" w:hanging="1440"/>
      </w:pPr>
      <w:rPr>
        <w:u w:val="none"/>
      </w:rPr>
    </w:lvl>
    <w:lvl w:ilvl="8">
      <w:start w:val="1"/>
      <w:numFmt w:val="decimal"/>
      <w:lvlText w:val="%1.%2.%3.%4.%5.%6.%7.%8.%9"/>
      <w:lvlJc w:val="left"/>
      <w:pPr>
        <w:ind w:left="2700" w:hanging="1800"/>
      </w:pPr>
      <w:rPr>
        <w:u w:val="none"/>
      </w:rPr>
    </w:lvl>
  </w:abstractNum>
  <w:abstractNum w:abstractNumId="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lvl w:ilvl="0">
      <w:start w:val="1"/>
      <w:numFmt w:val="decimal"/>
      <w:lvlText w:val="%1."/>
      <w:lvlJc w:val="left"/>
      <w:pPr>
        <w:ind w:left="1800" w:hanging="360"/>
      </w:pPr>
      <w:rPr>
        <w:u w:val="none"/>
      </w:rPr>
    </w:lvl>
    <w:lvl w:ilvl="1">
      <w:start w:val="1"/>
      <w:numFmt w:val="lowerLetter"/>
      <w:lvlText w:val="%2."/>
      <w:lvlJc w:val="left"/>
      <w:pPr>
        <w:ind w:left="2520" w:hanging="360"/>
      </w:pPr>
      <w:rPr>
        <w:u w:val="none"/>
      </w:rPr>
    </w:lvl>
    <w:lvl w:ilvl="2">
      <w:start w:val="1"/>
      <w:numFmt w:val="lowerRoman"/>
      <w:lvlText w:val="%3."/>
      <w:lvlJc w:val="right"/>
      <w:pPr>
        <w:ind w:left="3240" w:hanging="180"/>
      </w:pPr>
      <w:rPr>
        <w:u w:val="none"/>
      </w:rPr>
    </w:lvl>
    <w:lvl w:ilvl="3">
      <w:start w:val="1"/>
      <w:numFmt w:val="decimal"/>
      <w:lvlText w:val="%4."/>
      <w:lvlJc w:val="left"/>
      <w:pPr>
        <w:ind w:left="3960" w:hanging="360"/>
      </w:pPr>
      <w:rPr>
        <w:u w:val="none"/>
      </w:rPr>
    </w:lvl>
    <w:lvl w:ilvl="4">
      <w:start w:val="1"/>
      <w:numFmt w:val="lowerLetter"/>
      <w:lvlText w:val="%5."/>
      <w:lvlJc w:val="left"/>
      <w:pPr>
        <w:ind w:left="4680" w:hanging="360"/>
      </w:pPr>
      <w:rPr>
        <w:u w:val="none"/>
      </w:rPr>
    </w:lvl>
    <w:lvl w:ilvl="5">
      <w:start w:val="1"/>
      <w:numFmt w:val="lowerRoman"/>
      <w:lvlText w:val="%6."/>
      <w:lvlJc w:val="right"/>
      <w:pPr>
        <w:ind w:left="5400" w:hanging="180"/>
      </w:pPr>
      <w:rPr>
        <w:u w:val="none"/>
      </w:rPr>
    </w:lvl>
    <w:lvl w:ilvl="6">
      <w:start w:val="1"/>
      <w:numFmt w:val="decimal"/>
      <w:lvlText w:val="%7."/>
      <w:lvlJc w:val="left"/>
      <w:pPr>
        <w:ind w:left="6120" w:hanging="360"/>
      </w:pPr>
      <w:rPr>
        <w:u w:val="none"/>
      </w:rPr>
    </w:lvl>
    <w:lvl w:ilvl="7">
      <w:start w:val="1"/>
      <w:numFmt w:val="lowerLetter"/>
      <w:lvlText w:val="%8."/>
      <w:lvlJc w:val="left"/>
      <w:pPr>
        <w:ind w:left="6840" w:hanging="360"/>
      </w:pPr>
      <w:rPr>
        <w:u w:val="none"/>
      </w:rPr>
    </w:lvl>
    <w:lvl w:ilvl="8">
      <w:start w:val="1"/>
      <w:numFmt w:val="lowerRoman"/>
      <w:lvlText w:val="%9."/>
      <w:lvlJc w:val="right"/>
      <w:pPr>
        <w:ind w:left="7560" w:hanging="180"/>
      </w:pPr>
      <w:rPr>
        <w:u w:val="none"/>
      </w:rPr>
    </w:lvl>
  </w:abstractNum>
  <w:abstractNum w:abstractNumId="10">
    <w:lvl w:ilvl="0">
      <w:start w:val="1"/>
      <w:numFmt w:val="decimal"/>
      <w:lvlText w:val="%1"/>
      <w:lvlJc w:val="left"/>
      <w:pPr>
        <w:ind w:left="360" w:hanging="360"/>
      </w:pPr>
      <w:rPr>
        <w:u w:val="none"/>
      </w:rPr>
    </w:lvl>
    <w:lvl w:ilvl="1">
      <w:start w:val="1"/>
      <w:numFmt w:val="decimal"/>
      <w:lvlText w:val="%1.%2"/>
      <w:lvlJc w:val="left"/>
      <w:pPr>
        <w:ind w:left="786" w:hanging="360.00000000000006"/>
      </w:pPr>
      <w:rPr>
        <w:u w:val="none"/>
      </w:rPr>
    </w:lvl>
    <w:lvl w:ilvl="2">
      <w:start w:val="1"/>
      <w:numFmt w:val="decimal"/>
      <w:lvlText w:val="%1.%2.%3"/>
      <w:lvlJc w:val="left"/>
      <w:pPr>
        <w:ind w:left="1572" w:hanging="720.0000000000001"/>
      </w:pPr>
      <w:rPr>
        <w:u w:val="none"/>
      </w:rPr>
    </w:lvl>
    <w:lvl w:ilvl="3">
      <w:start w:val="1"/>
      <w:numFmt w:val="decimal"/>
      <w:lvlText w:val="%1.%2.%3.%4"/>
      <w:lvlJc w:val="left"/>
      <w:pPr>
        <w:ind w:left="1998" w:hanging="720"/>
      </w:pPr>
      <w:rPr>
        <w:u w:val="none"/>
      </w:rPr>
    </w:lvl>
    <w:lvl w:ilvl="4">
      <w:start w:val="1"/>
      <w:numFmt w:val="decimal"/>
      <w:lvlText w:val="%1.%2.%3.%4.%5"/>
      <w:lvlJc w:val="left"/>
      <w:pPr>
        <w:ind w:left="2784" w:hanging="1080.0000000000002"/>
      </w:pPr>
      <w:rPr>
        <w:u w:val="none"/>
      </w:rPr>
    </w:lvl>
    <w:lvl w:ilvl="5">
      <w:start w:val="1"/>
      <w:numFmt w:val="decimal"/>
      <w:lvlText w:val="%1.%2.%3.%4.%5.%6"/>
      <w:lvlJc w:val="left"/>
      <w:pPr>
        <w:ind w:left="3210" w:hanging="1080"/>
      </w:pPr>
      <w:rPr>
        <w:u w:val="none"/>
      </w:rPr>
    </w:lvl>
    <w:lvl w:ilvl="6">
      <w:start w:val="1"/>
      <w:numFmt w:val="decimal"/>
      <w:lvlText w:val="%1.%2.%3.%4.%5.%6.%7"/>
      <w:lvlJc w:val="left"/>
      <w:pPr>
        <w:ind w:left="3996" w:hanging="1440"/>
      </w:pPr>
      <w:rPr>
        <w:u w:val="none"/>
      </w:rPr>
    </w:lvl>
    <w:lvl w:ilvl="7">
      <w:start w:val="1"/>
      <w:numFmt w:val="decimal"/>
      <w:lvlText w:val="%1.%2.%3.%4.%5.%6.%7.%8"/>
      <w:lvlJc w:val="left"/>
      <w:pPr>
        <w:ind w:left="4422" w:hanging="1440"/>
      </w:pPr>
      <w:rPr>
        <w:u w:val="none"/>
      </w:rPr>
    </w:lvl>
    <w:lvl w:ilvl="8">
      <w:start w:val="1"/>
      <w:numFmt w:val="decimal"/>
      <w:lvlText w:val="%1.%2.%3.%4.%5.%6.%7.%8.%9"/>
      <w:lvlJc w:val="left"/>
      <w:pPr>
        <w:ind w:left="5208" w:hanging="1800.0000000000005"/>
      </w:pPr>
      <w:rPr>
        <w:u w:val="none"/>
      </w:rPr>
    </w:lvl>
  </w:abstractNum>
  <w:abstractNum w:abstractNumId="1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3">
    <w:lvl w:ilvl="0">
      <w:start w:val="1"/>
      <w:numFmt w:val="decimal"/>
      <w:lvlText w:val="%1"/>
      <w:lvlJc w:val="left"/>
      <w:pPr>
        <w:ind w:left="360" w:hanging="360"/>
      </w:pPr>
      <w:rPr>
        <w:u w:val="none"/>
      </w:rPr>
    </w:lvl>
    <w:lvl w:ilvl="1">
      <w:start w:val="1"/>
      <w:numFmt w:val="decimal"/>
      <w:lvlText w:val="%1.%2"/>
      <w:lvlJc w:val="left"/>
      <w:pPr>
        <w:ind w:left="786" w:hanging="360.00000000000006"/>
      </w:pPr>
      <w:rPr>
        <w:rFonts w:ascii="Times New Roman" w:cs="Times New Roman" w:eastAsia="Times New Roman" w:hAnsi="Times New Roman"/>
        <w:b w:val="1"/>
        <w:u w:val="none"/>
      </w:rPr>
    </w:lvl>
    <w:lvl w:ilvl="2">
      <w:start w:val="1"/>
      <w:numFmt w:val="decimal"/>
      <w:lvlText w:val="%1.%2.%3"/>
      <w:lvlJc w:val="left"/>
      <w:pPr>
        <w:ind w:left="1572" w:hanging="720.0000000000001"/>
      </w:pPr>
      <w:rPr>
        <w:u w:val="none"/>
      </w:rPr>
    </w:lvl>
    <w:lvl w:ilvl="3">
      <w:start w:val="1"/>
      <w:numFmt w:val="decimal"/>
      <w:lvlText w:val="%1.%2.%3.%4"/>
      <w:lvlJc w:val="left"/>
      <w:pPr>
        <w:ind w:left="1998" w:hanging="720"/>
      </w:pPr>
      <w:rPr>
        <w:u w:val="none"/>
      </w:rPr>
    </w:lvl>
    <w:lvl w:ilvl="4">
      <w:start w:val="1"/>
      <w:numFmt w:val="decimal"/>
      <w:lvlText w:val="%1.%2.%3.%4.%5"/>
      <w:lvlJc w:val="left"/>
      <w:pPr>
        <w:ind w:left="2784" w:hanging="1080.0000000000002"/>
      </w:pPr>
      <w:rPr>
        <w:u w:val="none"/>
      </w:rPr>
    </w:lvl>
    <w:lvl w:ilvl="5">
      <w:start w:val="1"/>
      <w:numFmt w:val="decimal"/>
      <w:lvlText w:val="%1.%2.%3.%4.%5.%6"/>
      <w:lvlJc w:val="left"/>
      <w:pPr>
        <w:ind w:left="3210" w:hanging="1080"/>
      </w:pPr>
      <w:rPr>
        <w:u w:val="none"/>
      </w:rPr>
    </w:lvl>
    <w:lvl w:ilvl="6">
      <w:start w:val="1"/>
      <w:numFmt w:val="decimal"/>
      <w:lvlText w:val="%1.%2.%3.%4.%5.%6.%7"/>
      <w:lvlJc w:val="left"/>
      <w:pPr>
        <w:ind w:left="3996" w:hanging="1440"/>
      </w:pPr>
      <w:rPr>
        <w:u w:val="none"/>
      </w:rPr>
    </w:lvl>
    <w:lvl w:ilvl="7">
      <w:start w:val="1"/>
      <w:numFmt w:val="decimal"/>
      <w:lvlText w:val="%1.%2.%3.%4.%5.%6.%7.%8"/>
      <w:lvlJc w:val="left"/>
      <w:pPr>
        <w:ind w:left="4422" w:hanging="1440"/>
      </w:pPr>
      <w:rPr>
        <w:u w:val="none"/>
      </w:rPr>
    </w:lvl>
    <w:lvl w:ilvl="8">
      <w:start w:val="1"/>
      <w:numFmt w:val="decimal"/>
      <w:lvlText w:val="%1.%2.%3.%4.%5.%6.%7.%8.%9"/>
      <w:lvlJc w:val="left"/>
      <w:pPr>
        <w:ind w:left="5208" w:hanging="1800.0000000000005"/>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sciencedirect.com/science/article/abs/pii/S0968090X20306252?utm_source=chatgpt.com" TargetMode="External"/><Relationship Id="rId22" Type="http://schemas.openxmlformats.org/officeDocument/2006/relationships/hyperlink" Target="https://www.sciencedirect.com/science/article/pii/S2590198223000672?utm_source=chatgpt.com" TargetMode="External"/><Relationship Id="rId21" Type="http://schemas.openxmlformats.org/officeDocument/2006/relationships/hyperlink" Target="https://www.sciencedirect.com/science/article/pii/S2590198223000672?utm_source=chatgpt.com" TargetMode="External"/><Relationship Id="rId24" Type="http://schemas.openxmlformats.org/officeDocument/2006/relationships/hyperlink" Target="https://vs-dprexternal3.dpr.go.id/index.php/hukum/article/download/4359/pdf?utm_source=chatgpt.com" TargetMode="External"/><Relationship Id="rId23" Type="http://schemas.openxmlformats.org/officeDocument/2006/relationships/hyperlink" Target="https://vs-dprexternal3.dpr.go.id/index.php/hukum/article/download/4359/pdf?utm_source=chatgpt.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nhtsa.gov/vehicle-safety/automated-vehicles-safety?utm_source=chatgpt.com" TargetMode="External"/><Relationship Id="rId26" Type="http://schemas.openxmlformats.org/officeDocument/2006/relationships/hyperlink" Target="https://www.reuters.com/legal/transactional/column-driverless-car-problems-are-outpacing-liability-laws-2023-12-11/?utm_source=chatgpt.com" TargetMode="External"/><Relationship Id="rId25" Type="http://schemas.openxmlformats.org/officeDocument/2006/relationships/hyperlink" Target="https://www.reuters.com/legal/transactional/column-driverless-car-problems-are-outpacing-liability-laws-2023-12-11/?utm_source=chatgpt.co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brookings.edu/articles/the-evolving-safety-and-policy-challenges-of-self-driving-cars/?utm_source=chatgpt.com" TargetMode="External"/><Relationship Id="rId8" Type="http://schemas.openxmlformats.org/officeDocument/2006/relationships/hyperlink" Target="https://www.brookings.edu/articles/the-evolving-safety-and-policy-challenges-of-self-driving-cars/?utm_source=chatgpt.com" TargetMode="External"/><Relationship Id="rId11" Type="http://schemas.openxmlformats.org/officeDocument/2006/relationships/hyperlink" Target="https://www.reuters.com/business/autos-transportation/uber-lyft-drivers-use-teslas-makeshift-robotaxis-raising-safety-concerns-2024-10-03/?utm_source=chatgpt.com" TargetMode="External"/><Relationship Id="rId10" Type="http://schemas.openxmlformats.org/officeDocument/2006/relationships/hyperlink" Target="https://www.nhtsa.gov/vehicle-safety/automated-vehicles-safety?utm_source=chatgpt.com" TargetMode="External"/><Relationship Id="rId13" Type="http://schemas.openxmlformats.org/officeDocument/2006/relationships/hyperlink" Target="https://academic.oup.com/ajcl/article/70/Supplement_1/i39/6655619?utm_source=chatgpt.com" TargetMode="External"/><Relationship Id="rId12" Type="http://schemas.openxmlformats.org/officeDocument/2006/relationships/hyperlink" Target="https://www.americanbar.org/news/abanews/publications/youraba/2018/december-2018/legal-implications-of-driverless-cars/?utm_source=chatgpt.com" TargetMode="External"/><Relationship Id="rId15" Type="http://schemas.openxmlformats.org/officeDocument/2006/relationships/hyperlink" Target="https://cms.law/en/int/expert-guides/cms-expert-guide-to-autonomous-vehicles-avs/germany?utm_source=chatgpt.com" TargetMode="External"/><Relationship Id="rId14" Type="http://schemas.openxmlformats.org/officeDocument/2006/relationships/hyperlink" Target="https://academic.oup.com/ajcl/article/70/Supplement_1/i39/6655619?utm_source=chatgpt.com" TargetMode="External"/><Relationship Id="rId17" Type="http://schemas.openxmlformats.org/officeDocument/2006/relationships/hyperlink" Target="https://english-meiji.net/articles/4571/?utm_source=chatgpt.com" TargetMode="External"/><Relationship Id="rId16" Type="http://schemas.openxmlformats.org/officeDocument/2006/relationships/hyperlink" Target="https://cms.law/en/int/expert-guides/cms-expert-guide-to-autonomous-vehicles-avs/germany?utm_source=chatgpt.com" TargetMode="External"/><Relationship Id="rId19" Type="http://schemas.openxmlformats.org/officeDocument/2006/relationships/hyperlink" Target="https://www.sciencedirect.com/science/article/abs/pii/S0968090X20306252?utm_source=chatgpt.com" TargetMode="External"/><Relationship Id="rId18" Type="http://schemas.openxmlformats.org/officeDocument/2006/relationships/hyperlink" Target="https://english-meiji.net/articles/4571/?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